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1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1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1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1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1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JSZC-320200-XWJC-G2025-0107</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无锡市中医医院眩晕诊疗系统项目（第二次）</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无锡市中医医院</w:t>
      </w:r>
      <w:r/>
    </w:p>
    <w:p>
      <w:pPr>
        <w:pStyle w:val="101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1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1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1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二〇二五年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十一</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11"/>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20823272"/>
      <w:r/>
      <w:bookmarkStart w:id="2" w:name="_Toc479757206"/>
      <w:r/>
      <w:bookmarkStart w:id="3" w:name="_Toc523127445"/>
      <w:r/>
      <w:bookmarkStart w:id="4" w:name="_Toc16938516"/>
      <w:r/>
      <w:bookmarkStart w:id="5" w:name="_Toc513029200"/>
      <w:r/>
      <w:r/>
    </w:p>
    <w:p>
      <w:pPr>
        <w:pStyle w:val="101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采购需求---------------------------------（40）</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评标方法与评标标准-----------------------（46）</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投标文件内容与格式-----------------------（51）</w:t>
      </w:r>
      <w:r/>
    </w:p>
    <w:p>
      <w:pPr>
        <w:pStyle w:val="727"/>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27"/>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09"/>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9"/>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27"/>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27"/>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27"/>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09"/>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27"/>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7"/>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27"/>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10"/>
        <w:ind w:firstLine="0"/>
        <w:rPr>
          <w:highlight w:val="none"/>
        </w:rPr>
      </w:pPr>
      <w:r>
        <w:rPr>
          <w:highlight w:val="none"/>
        </w:rPr>
      </w:r>
      <w:r/>
    </w:p>
    <w:p>
      <w:pPr>
        <w:pStyle w:val="710"/>
        <w:ind w:firstLine="0"/>
        <w:rPr>
          <w:highlight w:val="none"/>
        </w:rPr>
      </w:pPr>
      <w:r>
        <w:rPr>
          <w:highlight w:val="none"/>
        </w:rPr>
      </w:r>
      <w:r/>
    </w:p>
    <w:p>
      <w:pPr>
        <w:pStyle w:val="710"/>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无锡市中医医院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无锡市中医医院眩晕诊疗系统项目（第二次）</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JSZC-320200-XWJC-G2025-0107</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无锡市中医医院眩晕诊疗系统项目（第二次）</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下载的方式依法获取招标文件，并于2025年</w:t>
      </w:r>
      <w:bookmarkStart w:id="202" w:name="_GoBack"/>
      <w:r/>
      <w:bookmarkEnd w:id="202"/>
      <w:r>
        <w:rPr>
          <w:rFonts w:hint="eastAsia" w:ascii="宋体" w:hAnsi="宋体"/>
          <w:color w:val="000000" w:themeColor="text1"/>
          <w:sz w:val="24"/>
          <w:szCs w:val="24"/>
          <w:highlight w:val="none"/>
          <w:lang w:val="en-US" w:eastAsia="zh-CN"/>
          <w14:textFill>
            <w14:solidFill>
              <w14:schemeClr w14:val="tx1"/>
            </w14:solidFill>
          </w14:textFill>
        </w:rPr>
        <w:t xml:space="preserve">12月9日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JSZC-320200-XWJC-G2025-0107</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无锡市中医医院眩晕诊疗系统项目（第二次）</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125</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125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35393622"/>
      <w:r/>
      <w:bookmarkStart w:id="13" w:name="_Toc28359003"/>
      <w:r/>
      <w:bookmarkStart w:id="14" w:name="_Toc38985264"/>
      <w:r/>
      <w:bookmarkStart w:id="15" w:name="_Toc28359080"/>
      <w:r/>
      <w:bookmarkStart w:id="16" w:name="_Toc35393791"/>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35393623"/>
      <w:r/>
      <w:bookmarkStart w:id="19" w:name="_Toc28359081"/>
      <w:r/>
      <w:bookmarkStart w:id="20" w:name="_Toc38985265"/>
      <w:r/>
      <w:bookmarkStart w:id="21" w:name="_Toc28359004"/>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0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2025年</w:t>
      </w:r>
      <w:r>
        <w:rPr>
          <w:rFonts w:hint="eastAsia" w:ascii="宋体" w:hAnsi="宋体"/>
          <w:color w:val="000000" w:themeColor="text1"/>
          <w:sz w:val="24"/>
          <w:szCs w:val="24"/>
          <w:highlight w:val="none"/>
          <w:lang w:val="en-US" w:eastAsia="zh-CN"/>
          <w14:textFill>
            <w14:solidFill>
              <w14:schemeClr w14:val="tx1"/>
            </w14:solidFill>
          </w14:textFill>
        </w:rPr>
        <w:t xml:space="preserve">12月9日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07"/>
      <w:r/>
      <w:bookmarkStart w:id="28" w:name="_Toc35393794"/>
      <w:r/>
      <w:bookmarkStart w:id="29" w:name="_Toc28359084"/>
      <w:r/>
      <w:bookmarkStart w:id="30" w:name="_Toc35393625"/>
      <w:r/>
      <w:bookmarkStart w:id="31" w:name="_Toc38985267"/>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28359085"/>
      <w:r/>
      <w:bookmarkStart w:id="36" w:name="_Toc38985269"/>
      <w:r/>
      <w:bookmarkStart w:id="37" w:name="_Toc28359008"/>
      <w:r/>
      <w:bookmarkStart w:id="38" w:name="_Toc35393627"/>
      <w:r/>
      <w:bookmarkStart w:id="39" w:name="_Toc35393796"/>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无锡市中医医院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14:textFill>
            <w14:solidFill>
              <w14:schemeClr w14:val="tx1"/>
            </w14:solidFill>
          </w14:textFill>
        </w:rPr>
        <w:t xml:space="preserve">无锡市滨湖区中南西路8号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hint="eastAsia" w:ascii="宋体" w:hAnsi="宋体" w:cs="宋体"/>
          <w:color w:val="000000" w:themeColor="text1"/>
          <w:sz w:val="24"/>
          <w:szCs w:val="24"/>
          <w14:textFill>
            <w14:solidFill>
              <w14:schemeClr w14:val="tx1"/>
            </w14:solidFill>
          </w14:textFill>
        </w:rPr>
        <w:t xml:space="preserve">王老师；电话：0510-88859999-74002</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hint="eastAsia" w:ascii="宋体" w:hAnsi="宋体" w:cs="宋体"/>
          <w:color w:val="000000" w:themeColor="text1"/>
          <w:sz w:val="24"/>
          <w:szCs w:val="24"/>
          <w14:textFill>
            <w14:solidFill>
              <w14:schemeClr w14:val="tx1"/>
            </w14:solidFill>
          </w14:textFill>
        </w:rPr>
        <w:t xml:space="preserve">王老师；电话：0510-88859999-74002</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47" w:name="_Toc120614214"/>
      <w:r/>
      <w:bookmarkStart w:id="48" w:name="_Toc513029203"/>
      <w:r/>
      <w:bookmarkStart w:id="49" w:name="_Toc20823275"/>
      <w:r/>
      <w:bookmarkStart w:id="50" w:name="_Toc16938519"/>
      <w:r>
        <w:rPr>
          <w:rFonts w:hint="eastAsia"/>
          <w:color w:val="000000" w:themeColor="text1"/>
          <w:sz w:val="30"/>
          <w:szCs w:val="30"/>
          <w:highlight w:val="none"/>
          <w:lang w:eastAsia="zh-CN"/>
          <w14:textFill>
            <w14:solidFill>
              <w14:schemeClr w14:val="tx1"/>
            </w14:solidFill>
          </w14:textFill>
        </w:rPr>
        <w:t xml:space="preserve">一、总则</w:t>
      </w:r>
      <w:bookmarkEnd w:id="47"/>
      <w:r/>
      <w:bookmarkEnd w:id="48"/>
      <w:r/>
      <w:bookmarkEnd w:id="49"/>
      <w:r/>
      <w:bookmarkEnd w:id="50"/>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non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5" w:name="_Toc20823277"/>
      <w:r/>
      <w:bookmarkStart w:id="56" w:name="_Toc16938521"/>
      <w:r/>
      <w:bookmarkStart w:id="57" w:name="_Toc513029205"/>
      <w:r>
        <w:rPr>
          <w:rFonts w:hint="eastAsia" w:ascii="宋体" w:hAnsi="宋体" w:eastAsia="宋体"/>
          <w:bCs w:val="0"/>
          <w:color w:val="000000" w:themeColor="text1"/>
          <w:highlight w:val="non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8" w:name="_Toc513029206"/>
      <w:r/>
      <w:bookmarkStart w:id="59" w:name="_Toc16938522"/>
      <w:r/>
      <w:bookmarkStart w:id="60" w:name="_Toc20823278"/>
      <w:r>
        <w:rPr>
          <w:rFonts w:hint="eastAsia" w:ascii="宋体" w:hAnsi="宋体" w:eastAsia="宋体"/>
          <w:bCs w:val="0"/>
          <w:color w:val="000000" w:themeColor="text1"/>
          <w:highlight w:val="non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1" w:name="_Toc462564067"/>
      <w:r/>
      <w:bookmarkStart w:id="62" w:name="_Toc20823279"/>
      <w:r/>
      <w:bookmarkStart w:id="63" w:name="_Toc513029207"/>
      <w:r/>
      <w:bookmarkStart w:id="64" w:name="_Toc16938523"/>
      <w:r>
        <w:rPr>
          <w:rFonts w:hint="eastAsia" w:ascii="宋体" w:hAnsi="宋体" w:eastAsia="宋体"/>
          <w:bCs w:val="0"/>
          <w:color w:val="000000" w:themeColor="text1"/>
          <w:highlight w:val="non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5" w:name="_Toc513029209"/>
      <w:r/>
      <w:bookmarkStart w:id="66" w:name="_Toc16938525"/>
      <w:r/>
      <w:bookmarkStart w:id="67" w:name="_Toc120614215"/>
      <w:r/>
      <w:bookmarkStart w:id="68" w:name="_Toc20823281"/>
      <w:r>
        <w:rPr>
          <w:rFonts w:hint="eastAsia"/>
          <w:color w:val="000000" w:themeColor="text1"/>
          <w:sz w:val="30"/>
          <w:szCs w:val="30"/>
          <w:highlight w:val="none"/>
          <w:lang w:eastAsia="zh-CN"/>
          <w14:textFill>
            <w14:solidFill>
              <w14:schemeClr w14:val="tx1"/>
            </w14:solidFill>
          </w14:textFill>
        </w:rPr>
        <w:t xml:space="preserve">二、招标文件</w:t>
      </w:r>
      <w:bookmarkEnd w:id="65"/>
      <w:r/>
      <w:bookmarkEnd w:id="66"/>
      <w:r/>
      <w:bookmarkEnd w:id="67"/>
      <w:r/>
      <w:bookmarkEnd w:id="68"/>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non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themeColor="text1"/>
          <w:highlight w:val="non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w:t>
      </w:r>
      <w:r>
        <w:rPr>
          <w:rFonts w:hint="eastAsia" w:ascii="宋体" w:hAnsi="宋体"/>
          <w:bCs/>
          <w:color w:val="000000"/>
          <w:sz w:val="24"/>
          <w:highlight w:val="non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6" w:name="_Toc462564071"/>
      <w:r/>
      <w:bookmarkStart w:id="77" w:name="_Toc513029212"/>
      <w:r/>
      <w:bookmarkStart w:id="78" w:name="_Toc16938528"/>
      <w:r/>
      <w:bookmarkStart w:id="79" w:name="_Toc20823284"/>
      <w:r>
        <w:rPr>
          <w:rFonts w:hint="eastAsia" w:ascii="宋体" w:hAnsi="宋体" w:eastAsia="宋体"/>
          <w:bCs w:val="0"/>
          <w:color w:val="000000" w:themeColor="text1"/>
          <w:highlight w:val="non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80" w:name="_Toc513029213"/>
      <w:r/>
      <w:bookmarkStart w:id="81" w:name="_Toc120614216"/>
      <w:r/>
      <w:bookmarkStart w:id="82" w:name="_Toc16938529"/>
      <w:r/>
      <w:bookmarkStart w:id="83" w:name="_Toc462564072"/>
      <w:r/>
      <w:bookmarkStart w:id="84" w:name="_Toc20823285"/>
      <w:r>
        <w:rPr>
          <w:rFonts w:hint="eastAsia"/>
          <w:color w:val="000000" w:themeColor="text1"/>
          <w:sz w:val="30"/>
          <w:szCs w:val="30"/>
          <w:highlight w:val="non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5" w:name="_Toc20823286"/>
      <w:r/>
      <w:bookmarkStart w:id="86" w:name="_Toc16938530"/>
      <w:r/>
      <w:bookmarkStart w:id="87" w:name="_Toc462564073"/>
      <w:r/>
      <w:bookmarkStart w:id="88" w:name="_Toc513029214"/>
      <w:r>
        <w:rPr>
          <w:rFonts w:hint="eastAsia" w:ascii="宋体" w:hAnsi="宋体" w:eastAsia="宋体"/>
          <w:bCs w:val="0"/>
          <w:color w:val="000000" w:themeColor="text1"/>
          <w:highlight w:val="non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9" w:name="_Toc513029215"/>
      <w:r/>
      <w:bookmarkStart w:id="90" w:name="_Toc20823287"/>
      <w:r/>
      <w:bookmarkStart w:id="91" w:name="_Toc462564074"/>
      <w:r/>
      <w:bookmarkStart w:id="92" w:name="_Toc16938531"/>
      <w:r>
        <w:rPr>
          <w:rFonts w:hint="eastAsia" w:ascii="宋体" w:hAnsi="宋体" w:eastAsia="宋体"/>
          <w:bCs w:val="0"/>
          <w:color w:val="000000" w:themeColor="text1"/>
          <w:highlight w:val="non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93" w:name="_Hlt26954838"/>
      <w:r/>
      <w:bookmarkEnd w:id="93"/>
      <w:r/>
      <w:bookmarkStart w:id="94" w:name="_Hlt26670360"/>
      <w:r/>
      <w:bookmarkEnd w:id="94"/>
      <w:r/>
      <w:bookmarkStart w:id="95" w:name="_Hlt26668975"/>
      <w:r/>
      <w:bookmarkEnd w:id="95"/>
      <w:r/>
      <w:bookmarkStart w:id="96" w:name="_Toc49090509"/>
      <w:r/>
      <w:bookmarkStart w:id="97" w:name="_Toc14577357"/>
      <w:r/>
      <w:bookmarkStart w:id="98" w:name="_Toc513029219"/>
      <w:r/>
      <w:bookmarkStart w:id="99" w:name="_Toc513029216"/>
      <w:r/>
      <w:bookmarkStart w:id="100" w:name="_Toc14577354"/>
      <w:r/>
      <w:bookmarkStart w:id="101" w:name="_Toc49090507"/>
      <w:r>
        <w:rPr>
          <w:rFonts w:hint="eastAsia" w:ascii="宋体" w:hAnsi="宋体" w:eastAsia="宋体"/>
          <w:bCs w:val="0"/>
          <w:color w:val="000000" w:themeColor="text1"/>
          <w:highlight w:val="non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non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8" w:name="_Hlt26670425"/>
      <w:r/>
      <w:bookmarkEnd w:id="108"/>
      <w:r/>
      <w:bookmarkStart w:id="109" w:name="_Hlt26670403"/>
      <w:r/>
      <w:bookmarkEnd w:id="109"/>
      <w:r/>
      <w:bookmarkStart w:id="110" w:name="_Hlt26670482"/>
      <w:r/>
      <w:bookmarkEnd w:id="110"/>
      <w:r/>
      <w:bookmarkStart w:id="111" w:name="_Hlt26668983"/>
      <w:r/>
      <w:bookmarkEnd w:id="111"/>
      <w:r/>
      <w:bookmarkStart w:id="112" w:name="_Hlt26954842"/>
      <w:r/>
      <w:bookmarkEnd w:id="112"/>
      <w:r/>
      <w:bookmarkStart w:id="113" w:name="_Hlt26954846"/>
      <w:r/>
      <w:bookmarkEnd w:id="113"/>
      <w:r/>
      <w:bookmarkStart w:id="114" w:name="_Hlt26954848"/>
      <w:r/>
      <w:bookmarkEnd w:id="114"/>
      <w:r/>
      <w:bookmarkStart w:id="115" w:name="_Hlt26954844"/>
      <w:r/>
      <w:bookmarkEnd w:id="115"/>
      <w:r/>
      <w:bookmarkStart w:id="116" w:name="_Hlt26954731"/>
      <w:r/>
      <w:bookmarkEnd w:id="116"/>
      <w:r/>
      <w:bookmarkStart w:id="117" w:name="_Hlt26670486"/>
      <w:r/>
      <w:bookmarkEnd w:id="117"/>
      <w:r>
        <w:rPr>
          <w:rFonts w:hint="eastAsia" w:ascii="宋体" w:hAnsi="宋体" w:eastAsia="宋体"/>
          <w:bCs w:val="0"/>
          <w:color w:val="000000" w:themeColor="text1"/>
          <w:highlight w:val="non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color w:val="000000" w:themeColor="text1"/>
          <w:sz w:val="30"/>
          <w:szCs w:val="30"/>
          <w:highlight w:val="none"/>
          <w:lang w:eastAsia="zh-CN"/>
          <w14:textFill>
            <w14:solidFill>
              <w14:schemeClr w14:val="tx1"/>
            </w14:solidFill>
          </w14:textFill>
        </w:rPr>
        <w:t xml:space="preserve">四、投标文件的递交</w:t>
      </w:r>
      <w:bookmarkEnd w:id="125"/>
      <w:r/>
      <w:bookmarkEnd w:id="126"/>
      <w:r/>
      <w:bookmarkEnd w:id="127"/>
      <w:r/>
      <w:bookmarkEnd w:id="128"/>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29" w:name="_Toc20823297"/>
      <w:r/>
      <w:bookmarkStart w:id="130" w:name="_Toc462564084"/>
      <w:r/>
      <w:bookmarkStart w:id="131" w:name="_Toc513029225"/>
      <w:r/>
      <w:bookmarkStart w:id="132" w:name="_Toc16938541"/>
      <w:r>
        <w:rPr>
          <w:rFonts w:hint="eastAsia" w:ascii="宋体" w:hAnsi="宋体" w:eastAsia="宋体"/>
          <w:bCs w:val="0"/>
          <w:color w:val="000000" w:themeColor="text1"/>
          <w:highlight w:val="non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3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16938542"/>
      <w:r/>
      <w:bookmarkStart w:id="135" w:name="_Toc513029226"/>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non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9" w:name="_Toc16938544"/>
      <w:r/>
      <w:bookmarkStart w:id="140" w:name="_Toc20823300"/>
      <w:r/>
      <w:bookmarkStart w:id="141" w:name="_Toc513029228"/>
      <w:r>
        <w:rPr>
          <w:rFonts w:hint="eastAsia" w:ascii="宋体" w:hAnsi="宋体" w:eastAsia="宋体"/>
          <w:bCs w:val="0"/>
          <w:color w:val="000000" w:themeColor="text1"/>
          <w:highlight w:val="non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42" w:name="_Toc16938545"/>
      <w:r/>
      <w:bookmarkStart w:id="143" w:name="_Toc513029229"/>
      <w:r/>
      <w:bookmarkStart w:id="144" w:name="_Toc120614218"/>
      <w:r/>
      <w:bookmarkStart w:id="145" w:name="_Toc20823301"/>
      <w:r>
        <w:rPr>
          <w:rFonts w:hint="eastAsia"/>
          <w:color w:val="000000" w:themeColor="text1"/>
          <w:sz w:val="30"/>
          <w:szCs w:val="30"/>
          <w:highlight w:val="none"/>
          <w:lang w:eastAsia="zh-CN"/>
          <w14:textFill>
            <w14:solidFill>
              <w14:schemeClr w14:val="tx1"/>
            </w14:solidFill>
          </w14:textFill>
        </w:rPr>
        <w:t xml:space="preserve">五、开标与评标</w:t>
      </w:r>
      <w:bookmarkEnd w:id="142"/>
      <w:r/>
      <w:bookmarkEnd w:id="143"/>
      <w:r/>
      <w:bookmarkEnd w:id="144"/>
      <w:r/>
      <w:bookmarkEnd w:id="145"/>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highlight w:val="non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non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non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5" w:name="_Toc20823305"/>
      <w:r/>
      <w:bookmarkStart w:id="156" w:name="_Toc513029233"/>
      <w:r/>
      <w:bookmarkStart w:id="157" w:name="_Toc16938549"/>
      <w:r>
        <w:rPr>
          <w:rFonts w:hint="eastAsia" w:ascii="宋体" w:hAnsi="宋体" w:eastAsia="宋体"/>
          <w:bCs w:val="0"/>
          <w:color w:val="000000" w:themeColor="text1"/>
          <w:highlight w:val="non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bookmarkStart w:id="158" w:name="_Toc20823306"/>
      <w:r/>
      <w:bookmarkStart w:id="159" w:name="_Toc16938550"/>
      <w:r/>
      <w:bookmarkStart w:id="160" w:name="_Toc513029234"/>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30"/>
        <w:ind w:firstLine="422"/>
        <w:keepLines w:val="0"/>
        <w:keepNext w:val="0"/>
        <w:spacing w:before="0" w:after="0" w:line="500" w:lineRule="exact"/>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4" w:name="_Toc120614219"/>
      <w:r>
        <w:rPr>
          <w:rFonts w:hint="eastAsia"/>
          <w:color w:val="000000" w:themeColor="text1"/>
          <w:sz w:val="30"/>
          <w:szCs w:val="30"/>
          <w:highlight w:val="non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lang w:eastAsia="zh-CN"/>
          <w14:textFill>
            <w14:solidFill>
              <w14:schemeClr w14:val="tx1"/>
            </w14:solidFill>
          </w14:textFill>
        </w:rPr>
        <w:t xml:space="preserve">定标</w:t>
      </w:r>
      <w:bookmarkEnd w:id="164"/>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hAnsi="宋体" w:cs="宋体"/>
          <w:color w:val="000000" w:themeColor="text1"/>
          <w:sz w:val="24"/>
          <w:szCs w:val="24"/>
          <w:highlight w:val="non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2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9" w:name="_Toc120614220"/>
      <w:r/>
      <w:bookmarkStart w:id="170" w:name="_Toc16938552"/>
      <w:r/>
      <w:bookmarkStart w:id="171" w:name="_Toc20823308"/>
      <w:r/>
      <w:bookmarkStart w:id="172" w:name="_Toc513029236"/>
      <w:r>
        <w:rPr>
          <w:rFonts w:hint="eastAsia"/>
          <w:color w:val="000000" w:themeColor="text1"/>
          <w:sz w:val="30"/>
          <w:szCs w:val="30"/>
          <w:highlight w:val="none"/>
          <w:lang w:eastAsia="zh-CN"/>
          <w14:textFill>
            <w14:solidFill>
              <w14:schemeClr w14:val="tx1"/>
            </w14:solidFill>
          </w14:textFill>
        </w:rPr>
        <w:t xml:space="preserve">七、授予合同</w:t>
      </w:r>
      <w:bookmarkEnd w:id="169"/>
      <w:r/>
      <w:bookmarkEnd w:id="170"/>
      <w:r/>
      <w:bookmarkEnd w:id="171"/>
      <w:r/>
      <w:bookmarkEnd w:id="172"/>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non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3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28"/>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513029242"/>
      <w:r/>
      <w:bookmarkStart w:id="177" w:name="_Toc120614221"/>
      <w:r/>
      <w:bookmarkStart w:id="178" w:name="_Toc479757207"/>
      <w:r/>
      <w:bookmarkStart w:id="179" w:name="_Toc20823314"/>
      <w:r/>
      <w:bookmarkStart w:id="180" w:name="_Toc16938558"/>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jc w:val="center"/>
        <w:rPr>
          <w:rFonts w:ascii="宋体" w:hAnsi="宋体" w:cs="宋体"/>
          <w:b/>
          <w:color w:val="000000"/>
          <w:spacing w:val="-20"/>
          <w:sz w:val="48"/>
        </w:rPr>
        <w:pBdr>
          <w:top w:val="none" w:color="000000" w:sz="0" w:space="0"/>
          <w:left w:val="none" w:color="000000" w:sz="0" w:space="0"/>
          <w:bottom w:val="none" w:color="000000" w:sz="0" w:space="0"/>
          <w:right w:val="none" w:color="000000" w:sz="0" w:space="0"/>
        </w:pBdr>
      </w:pPr>
      <w:r/>
      <w:bookmarkStart w:id="181" w:name="_Hlt16619350"/>
      <w:r/>
      <w:bookmarkStart w:id="182" w:name="_Toc20823346"/>
      <w:r/>
      <w:bookmarkStart w:id="183" w:name="_Toc16938590"/>
      <w:r/>
      <w:bookmarkStart w:id="184" w:name="_Toc120614244"/>
      <w:r/>
      <w:bookmarkStart w:id="185" w:name="_Toc479757211"/>
      <w:r/>
      <w:bookmarkStart w:id="186" w:name="_Toc462564139"/>
      <w:r/>
      <w:r/>
    </w:p>
    <w:p>
      <w:pPr>
        <w:jc w:val="center"/>
        <w:rPr>
          <w:rFonts w:ascii="宋体" w:hAnsi="宋体" w:cs="宋体"/>
          <w:b/>
          <w:color w:val="000000"/>
          <w:spacing w:val="-20"/>
          <w:sz w:val="48"/>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r>
      <w:r/>
    </w:p>
    <w:p>
      <w:pPr>
        <w:jc w:val="center"/>
        <w:rPr>
          <w:rFonts w:ascii="宋体" w:hAnsi="宋体" w:cs="宋体"/>
          <w:b/>
          <w:color w:val="000000"/>
          <w:spacing w:val="-20"/>
          <w:sz w:val="48"/>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r>
      <w:r/>
    </w:p>
    <w:p>
      <w:pPr>
        <w:jc w:val="center"/>
        <w:rPr>
          <w:rFonts w:ascii="宋体" w:hAnsi="宋体" w:cs="宋体"/>
          <w:b/>
          <w:color w:val="000000"/>
          <w:spacing w:val="-20"/>
          <w:sz w:val="48"/>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r>
      <w:r/>
    </w:p>
    <w:p>
      <w:pPr>
        <w:jc w:val="center"/>
        <w:rPr>
          <w:rFonts w:ascii="宋体" w:hAnsi="宋体" w:cs="宋体"/>
          <w:b/>
          <w:color w:val="000000"/>
          <w:spacing w:val="-20"/>
          <w:sz w:val="48"/>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r>
      <w:r/>
    </w:p>
    <w:p>
      <w:pPr>
        <w:jc w:val="center"/>
        <w:rPr>
          <w:rFonts w:ascii="宋体" w:hAnsi="宋体" w:cs="宋体"/>
          <w:b/>
          <w:color w:val="000000"/>
          <w:spacing w:val="-20"/>
          <w:sz w:val="48"/>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t xml:space="preserve">政府采购货物买卖合同</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t xml:space="preserve">（试行）</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项目名称：</w:t>
      </w:r>
      <w:r>
        <w:rPr>
          <w:rFonts w:ascii="宋体" w:hAnsi="宋体" w:cs="宋体"/>
          <w:color w:val="000000"/>
          <w:sz w:val="32"/>
          <w:u w:val="single"/>
        </w:rPr>
        <w:t xml:space="preserve">  无锡市中医医院    项目</w:t>
      </w:r>
      <w:r/>
    </w:p>
    <w:p>
      <w:pPr>
        <w:ind w:left="420" w:firstLine="480"/>
        <w:spacing w:line="85"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合同编号：</w:t>
      </w:r>
      <w:r>
        <w:rPr>
          <w:rFonts w:eastAsia="Times New Roman"/>
          <w:color w:val="000000"/>
          <w:sz w:val="32"/>
          <w:u w:val="single"/>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甲</w:t>
      </w:r>
      <w:r>
        <w:rPr>
          <w:rFonts w:eastAsia="Times New Roman"/>
          <w:color w:val="000000"/>
          <w:sz w:val="32"/>
        </w:rPr>
        <w:t xml:space="preserve">    </w:t>
      </w:r>
      <w:r>
        <w:rPr>
          <w:rFonts w:ascii="宋体" w:hAnsi="宋体" w:cs="宋体"/>
          <w:color w:val="000000"/>
          <w:sz w:val="32"/>
        </w:rPr>
        <w:t xml:space="preserve">方：</w:t>
      </w:r>
      <w:r>
        <w:rPr>
          <w:rFonts w:ascii="宋体" w:hAnsi="宋体" w:cs="宋体"/>
          <w:color w:val="000000"/>
          <w:sz w:val="32"/>
          <w:u w:val="single"/>
        </w:rPr>
        <w:t xml:space="preserve">  无锡市中医医院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乙</w:t>
      </w:r>
      <w:r>
        <w:rPr>
          <w:rFonts w:eastAsia="Times New Roman"/>
          <w:color w:val="000000"/>
          <w:sz w:val="32"/>
        </w:rPr>
        <w:t xml:space="preserve">    </w:t>
      </w:r>
      <w:r>
        <w:rPr>
          <w:rFonts w:ascii="宋体" w:hAnsi="宋体" w:cs="宋体"/>
          <w:color w:val="000000"/>
          <w:sz w:val="32"/>
        </w:rPr>
        <w:t xml:space="preserve">方：</w:t>
      </w:r>
      <w:r>
        <w:rPr>
          <w:rFonts w:eastAsia="Times New Roman"/>
          <w:color w:val="000000"/>
          <w:sz w:val="32"/>
          <w:u w:val="single"/>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签订时间：</w:t>
      </w:r>
      <w:r>
        <w:rPr>
          <w:rFonts w:ascii="宋体" w:hAnsi="宋体" w:cs="宋体"/>
          <w:color w:val="000000"/>
          <w:sz w:val="32"/>
          <w:u w:val="single"/>
        </w:rPr>
        <w:t xml:space="preserve">  年   月   日 </w:t>
      </w:r>
      <w:r/>
    </w:p>
    <w:p>
      <w:pPr>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使用说明</w:t>
      </w:r>
      <w:r/>
    </w:p>
    <w:p>
      <w:pPr>
        <w:ind w:firstLine="640"/>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 </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1.本合同标准文本适用于购买现成货物的采购项目，不包括需要供应商定制开发、创新研发的货物采购项目。</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2.本合同标准文本为政府采购货物买卖合同编制提供参考，可以结合采购项目具体情况，对文本作必要的调整修订后使用。</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3.本合同标准文本各条款中，如涉及填写多家供应商、制造商，多种采购标的、分包主要内容等信息的，可根据采购项目具体情况添加信息项。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jc w:val="center"/>
        <w:spacing w:before="360" w:after="20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第一节 政府采购合同协议书</w:t>
      </w:r>
      <w:r/>
    </w:p>
    <w:p>
      <w:pPr>
        <w:jc w:val="center"/>
        <w:spacing w:before="360" w:after="20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甲方（全称）：</w:t>
      </w:r>
      <w:r>
        <w:rPr>
          <w:rFonts w:ascii="宋体" w:hAnsi="宋体" w:cs="宋体"/>
          <w:color w:val="000000"/>
          <w:sz w:val="22"/>
          <w:u w:val="single"/>
        </w:rPr>
        <w:t xml:space="preserve">无锡市中医医院</w:t>
      </w:r>
      <w:r>
        <w:rPr>
          <w:rFonts w:ascii="宋体" w:hAnsi="宋体" w:cs="宋体"/>
          <w:color w:val="000000"/>
          <w:sz w:val="22"/>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乙方1（全称）：</w:t>
      </w:r>
      <w:r>
        <w:rPr>
          <w:rFonts w:ascii="宋体" w:hAnsi="宋体" w:cs="宋体"/>
          <w:color w:val="000000"/>
          <w:sz w:val="22"/>
          <w:u w:val="single"/>
        </w:rPr>
        <w:t xml:space="preserve">      </w:t>
      </w:r>
      <w:r>
        <w:rPr>
          <w:rFonts w:ascii="宋体" w:hAnsi="宋体" w:cs="宋体"/>
          <w:color w:val="000000"/>
          <w:sz w:val="22"/>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乙方2（全称）：</w:t>
      </w:r>
      <w:r>
        <w:rPr>
          <w:rFonts w:ascii="宋体" w:hAnsi="宋体" w:cs="宋体"/>
          <w:color w:val="000000"/>
          <w:sz w:val="22"/>
          <w:u w:val="single"/>
        </w:rPr>
        <w:t xml:space="preserve">      </w:t>
      </w:r>
      <w:r>
        <w:rPr>
          <w:rFonts w:ascii="宋体" w:hAnsi="宋体" w:cs="宋体"/>
          <w:color w:val="000000"/>
          <w:sz w:val="22"/>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乙方3（全称）：</w:t>
      </w:r>
      <w:r>
        <w:rPr>
          <w:rFonts w:ascii="宋体" w:hAnsi="宋体" w:cs="宋体"/>
          <w:color w:val="000000"/>
          <w:sz w:val="22"/>
          <w:u w:val="single"/>
        </w:rPr>
        <w:t xml:space="preserve">      </w:t>
      </w:r>
      <w:r>
        <w:rPr>
          <w:rFonts w:ascii="宋体" w:hAnsi="宋体" w:cs="宋体"/>
          <w:color w:val="000000"/>
          <w:sz w:val="22"/>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项目信息</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rPr>
          <w:rFonts w:hint="eastAsia" w:ascii="宋体" w:hAnsi="宋体" w:cs="宋体"/>
          <w:color w:val="000000"/>
          <w:sz w:val="22"/>
        </w:rPr>
        <w:t xml:space="preserve">1</w:t>
      </w:r>
      <w:r>
        <w:rPr>
          <w:rFonts w:ascii="宋体" w:hAnsi="宋体" w:cs="宋体"/>
          <w:color w:val="000000"/>
          <w:sz w:val="22"/>
        </w:rPr>
        <w:t xml:space="preserve">）采购项目名称：</w:t>
      </w:r>
      <w:r>
        <w:rPr>
          <w:rFonts w:ascii="宋体" w:hAnsi="宋体" w:cs="宋体"/>
          <w:color w:val="000000"/>
          <w:sz w:val="22"/>
          <w:u w:val="single"/>
        </w:rPr>
        <w:t xml:space="preserve"> 无锡市中医医院       项目</w:t>
      </w:r>
      <w:r/>
    </w:p>
    <w:p>
      <w:pPr>
        <w:spacing w:line="400" w:lineRule="atLeast"/>
        <w:tabs>
          <w:tab w:val="left" w:pos="999"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采购项目编号：</w:t>
      </w:r>
      <w:r>
        <w:rPr>
          <w:rFonts w:ascii="宋体" w:hAnsi="宋体" w:cs="宋体"/>
          <w:color w:val="000000"/>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（2）采购计划编号：</w:t>
      </w:r>
      <w:r>
        <w:rPr>
          <w:rFonts w:ascii="宋体" w:hAnsi="宋体" w:cs="宋体"/>
          <w:color w:val="000000"/>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（3）项目内容：</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采购标的及数量（台/套/个/架/组等）：</w:t>
      </w:r>
      <w:r>
        <w:rPr>
          <w:rFonts w:ascii="宋体" w:hAnsi="宋体" w:cs="宋体"/>
          <w:color w:val="000000"/>
          <w:sz w:val="22"/>
          <w:u w:val="single"/>
        </w:rPr>
        <w:t xml:space="preserve">      </w:t>
      </w:r>
      <w:r/>
    </w:p>
    <w:p>
      <w:pPr>
        <w:ind w:firstLine="945"/>
        <w:spacing w:line="400" w:lineRule="atLeast"/>
        <w:rPr>
          <w:rFonts w:ascii="宋体" w:hAnsi="宋体" w:cs="宋体"/>
          <w:color w:val="000000"/>
          <w:sz w:val="22"/>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品牌：</w:t>
      </w:r>
      <w:r>
        <w:rPr>
          <w:rFonts w:ascii="宋体" w:hAnsi="宋体" w:cs="宋体"/>
          <w:color w:val="000000"/>
          <w:sz w:val="22"/>
          <w:u w:val="single"/>
        </w:rPr>
        <w:t xml:space="preserve">      </w:t>
      </w:r>
      <w:r>
        <w:rPr>
          <w:rFonts w:ascii="宋体" w:hAnsi="宋体" w:cs="宋体"/>
          <w:color w:val="000000"/>
          <w:sz w:val="22"/>
        </w:rPr>
        <w:t xml:space="preserve">规格型号：</w:t>
      </w:r>
      <w:r>
        <w:rPr>
          <w:rFonts w:ascii="宋体" w:hAnsi="宋体" w:cs="宋体"/>
          <w:color w:val="000000"/>
          <w:sz w:val="22"/>
          <w:u w:val="single"/>
        </w:rPr>
        <w:t xml:space="preserve">      </w:t>
      </w:r>
      <w:r/>
    </w:p>
    <w:p>
      <w:pPr>
        <w:pStyle w:val="777"/>
        <w:ind w:firstLine="945"/>
        <w:rPr>
          <w:rFonts w:ascii="宋体" w:hAnsi="宋体" w:eastAsia="宋体" w:cs="宋体"/>
          <w:sz w:val="21"/>
        </w:rPr>
      </w:pPr>
      <w:r>
        <w:rPr>
          <w:rFonts w:hint="eastAsia" w:ascii="宋体" w:hAnsi="宋体" w:eastAsia="宋体" w:cs="宋体"/>
          <w:sz w:val="21"/>
        </w:rPr>
        <w:t xml:space="preserve">注册证号：   生产厂家：</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①</w:t>
      </w:r>
      <w:r>
        <w:rPr>
          <w:rFonts w:ascii="宋体" w:hAnsi="宋体" w:cs="宋体"/>
          <w:color w:val="000000"/>
          <w:sz w:val="22"/>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标的名称：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关键部件：品牌：型号：</w:t>
      </w:r>
      <w:r/>
    </w:p>
    <w:p>
      <w:pPr>
        <w:ind w:firstLine="1273"/>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关键部件：品牌：型号：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关键部件：品牌：型号：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②</w:t>
      </w:r>
      <w:r>
        <w:rPr>
          <w:rFonts w:ascii="宋体" w:hAnsi="宋体" w:cs="宋体"/>
          <w:color w:val="000000"/>
          <w:sz w:val="22"/>
        </w:rPr>
        <w:t xml:space="preserve">涉及车辆采购，请填写是否属于新能源汽车：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是，《政府采购品目分类目录》底级品目名称：数量：金额：</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（4）政府采购组织形式：</w:t>
      </w:r>
      <w:r>
        <w:rPr>
          <w:rFonts w:ascii="Wingdings" w:hAnsi="Wingdings" w:eastAsia="Wingdings" w:cs="Wingdings"/>
          <w:color w:val="000000"/>
          <w:sz w:val="22"/>
        </w:rPr>
        <w:t xml:space="preserve"></w:t>
      </w:r>
      <w:r>
        <w:rPr>
          <w:rFonts w:ascii="宋体" w:hAnsi="宋体" w:cs="宋体"/>
          <w:color w:val="000000"/>
          <w:sz w:val="22"/>
        </w:rPr>
        <w:t xml:space="preserve">政府集中采购  </w:t>
      </w:r>
      <w:r>
        <w:rPr>
          <w:rFonts w:ascii="Wingdings 2" w:hAnsi="Wingdings 2" w:eastAsia="Wingdings 2" w:cs="Wingdings 2"/>
          <w:b/>
          <w:color w:val="000000"/>
          <w:sz w:val="22"/>
        </w:rPr>
        <w:t xml:space="preserve"></w:t>
      </w:r>
      <w:r>
        <w:rPr>
          <w:rFonts w:ascii="宋体" w:hAnsi="宋体" w:cs="宋体"/>
          <w:color w:val="000000"/>
          <w:sz w:val="22"/>
        </w:rPr>
        <w:t xml:space="preserve">部门集中采购  </w:t>
      </w:r>
      <w:r>
        <w:rPr>
          <w:rFonts w:ascii="Wingdings" w:hAnsi="Wingdings" w:eastAsia="Wingdings" w:cs="Wingdings"/>
          <w:color w:val="000000"/>
          <w:sz w:val="22"/>
        </w:rPr>
        <w:t xml:space="preserve"></w:t>
      </w:r>
      <w:r>
        <w:rPr>
          <w:rFonts w:ascii="宋体" w:hAnsi="宋体" w:cs="宋体"/>
          <w:color w:val="000000"/>
          <w:sz w:val="22"/>
        </w:rPr>
        <w:t xml:space="preserve">分散采购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（5）政府采购方式：</w:t>
      </w:r>
      <w:r>
        <w:rPr>
          <w:rFonts w:ascii="Wingdings" w:hAnsi="Wingdings" w:eastAsia="Wingdings" w:cs="Wingdings"/>
          <w:color w:val="000000"/>
          <w:sz w:val="22"/>
        </w:rPr>
        <w:t xml:space="preserve"></w:t>
      </w:r>
      <w:r>
        <w:rPr>
          <w:rFonts w:ascii="宋体" w:hAnsi="宋体" w:cs="宋体"/>
          <w:color w:val="000000"/>
          <w:sz w:val="22"/>
        </w:rPr>
        <w:t xml:space="preserve">公开招标  </w:t>
      </w:r>
      <w:r>
        <w:rPr>
          <w:rFonts w:ascii="Wingdings" w:hAnsi="Wingdings" w:eastAsia="Wingdings" w:cs="Wingdings"/>
          <w:color w:val="000000"/>
          <w:sz w:val="22"/>
        </w:rPr>
        <w:t xml:space="preserve"></w:t>
      </w:r>
      <w:r>
        <w:rPr>
          <w:rFonts w:ascii="宋体" w:hAnsi="宋体" w:cs="宋体"/>
          <w:color w:val="000000"/>
          <w:sz w:val="22"/>
        </w:rPr>
        <w:t xml:space="preserve">邀请招标  </w:t>
      </w:r>
      <w:r>
        <w:rPr>
          <w:rFonts w:ascii="Wingdings" w:hAnsi="Wingdings" w:eastAsia="Wingdings" w:cs="Wingdings"/>
          <w:color w:val="000000"/>
          <w:sz w:val="22"/>
        </w:rPr>
        <w:t xml:space="preserve"></w:t>
      </w:r>
      <w:r>
        <w:rPr>
          <w:rFonts w:ascii="宋体" w:hAnsi="宋体" w:cs="宋体"/>
          <w:color w:val="000000"/>
          <w:sz w:val="22"/>
        </w:rPr>
        <w:t xml:space="preserve">竞争性谈判  </w:t>
      </w:r>
      <w:r>
        <w:rPr>
          <w:rFonts w:ascii="Wingdings" w:hAnsi="Wingdings" w:eastAsia="Wingdings" w:cs="Wingdings"/>
          <w:color w:val="000000"/>
          <w:sz w:val="22"/>
        </w:rPr>
        <w:t xml:space="preserve"></w:t>
      </w:r>
      <w:r>
        <w:rPr>
          <w:rFonts w:ascii="宋体" w:hAnsi="宋体" w:cs="宋体"/>
          <w:color w:val="000000"/>
          <w:sz w:val="22"/>
        </w:rPr>
        <w:t xml:space="preserve">竞争性磋商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询价  </w:t>
      </w:r>
      <w:r>
        <w:rPr>
          <w:rFonts w:ascii="Wingdings" w:hAnsi="Wingdings" w:eastAsia="Wingdings" w:cs="Wingdings"/>
          <w:color w:val="000000"/>
          <w:sz w:val="22"/>
        </w:rPr>
        <w:t xml:space="preserve"></w:t>
      </w:r>
      <w:r>
        <w:rPr>
          <w:rFonts w:ascii="宋体" w:hAnsi="宋体" w:cs="宋体"/>
          <w:color w:val="000000"/>
          <w:sz w:val="22"/>
        </w:rPr>
        <w:t xml:space="preserve">单一来源  </w:t>
      </w:r>
      <w:r>
        <w:rPr>
          <w:rFonts w:ascii="Wingdings" w:hAnsi="Wingdings" w:eastAsia="Wingdings" w:cs="Wingdings"/>
          <w:color w:val="000000"/>
          <w:sz w:val="22"/>
        </w:rPr>
        <w:t xml:space="preserve"></w:t>
      </w:r>
      <w:r>
        <w:rPr>
          <w:rFonts w:ascii="宋体" w:hAnsi="宋体" w:cs="宋体"/>
          <w:color w:val="000000"/>
          <w:sz w:val="22"/>
        </w:rPr>
        <w:t xml:space="preserve">框架协议  </w:t>
      </w:r>
      <w:r>
        <w:rPr>
          <w:rFonts w:ascii="Wingdings" w:hAnsi="Wingdings" w:eastAsia="Wingdings" w:cs="Wingdings"/>
          <w:color w:val="000000"/>
          <w:sz w:val="22"/>
        </w:rPr>
        <w:t xml:space="preserve"></w:t>
      </w:r>
      <w:r>
        <w:rPr>
          <w:rFonts w:ascii="宋体" w:hAnsi="宋体" w:cs="宋体"/>
          <w:color w:val="000000"/>
          <w:sz w:val="22"/>
        </w:rPr>
        <w:t xml:space="preserve">其他：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（注：在框架协议采购的第二阶段，可选择使用该合同文本）</w:t>
      </w:r>
      <w:r/>
    </w:p>
    <w:p>
      <w:pPr>
        <w:ind w:firstLine="21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华文楷体" w:hAnsi="华文楷体" w:eastAsia="华文楷体" w:cs="华文楷体"/>
          <w:color w:val="000000"/>
          <w:sz w:val="22"/>
        </w:rPr>
        <w:t xml:space="preserve">（</w:t>
      </w:r>
      <w:r>
        <w:rPr>
          <w:rFonts w:ascii="宋体" w:hAnsi="宋体" w:cs="宋体"/>
          <w:color w:val="000000"/>
          <w:sz w:val="22"/>
        </w:rPr>
        <w:t xml:space="preserve">6</w:t>
      </w:r>
      <w:r>
        <w:rPr>
          <w:rFonts w:ascii="华文楷体" w:hAnsi="华文楷体" w:eastAsia="华文楷体" w:cs="华文楷体"/>
          <w:color w:val="000000"/>
          <w:sz w:val="22"/>
        </w:rPr>
        <w:t xml:space="preserve">）</w:t>
      </w:r>
      <w:r>
        <w:rPr>
          <w:rFonts w:ascii="宋体" w:hAnsi="宋体" w:cs="宋体"/>
          <w:color w:val="000000"/>
          <w:sz w:val="22"/>
        </w:rPr>
        <w:t xml:space="preserve">中标（成交）采购标的制造商是否为中小企业：</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本合同是否为专门面向中小企业的采购合同（中小企业预留合同）：</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rPr>
          <w:rFonts w:ascii="宋体" w:hAnsi="宋体" w:cs="宋体"/>
          <w:color w:val="000000"/>
          <w:sz w:val="22"/>
        </w:rPr>
        <w:t xml:space="preserve">若本项目不专门面向中小企业采购，是否给予小微企业评审优惠：</w:t>
      </w:r>
      <w:r>
        <w:rPr>
          <w:rFonts w:ascii="Wingdings 2" w:hAnsi="Wingdings 2" w:eastAsia="Wingdings 2" w:cs="Wingdings 2"/>
          <w:b/>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rPr>
          <w:rFonts w:ascii="宋体" w:hAnsi="宋体" w:cs="宋体"/>
          <w:color w:val="000000"/>
          <w:sz w:val="22"/>
        </w:rPr>
        <w:t xml:space="preserve">中标（成交）采购标的制造商是否为残疾人福利性单位：</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rPr>
          <w:rFonts w:ascii="宋体" w:hAnsi="宋体" w:cs="宋体"/>
          <w:color w:val="000000"/>
          <w:sz w:val="22"/>
        </w:rPr>
        <w:t xml:space="preserve">中标（成交）采购标的制造商是否为监狱企业：</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（7）合同是否分包：</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2" w:hAnsi="Wingdings 2" w:eastAsia="Wingdings 2" w:cs="Wingdings 2"/>
          <w:b/>
          <w:color w:val="000000"/>
          <w:sz w:val="22"/>
        </w:rPr>
        <w:t xml:space="preserve"></w:t>
      </w:r>
      <w:r>
        <w:rPr>
          <w:rFonts w:ascii="宋体" w:hAnsi="宋体" w:cs="宋体"/>
          <w:color w:val="000000"/>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分包主要内容：</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分包供应商/制造商名称（如供应商和制造商不同，请分别填写）：</w:t>
      </w:r>
      <w:r>
        <w:rPr>
          <w:rFonts w:ascii="宋体" w:hAnsi="宋体" w:cs="宋体"/>
          <w:color w:val="000000"/>
          <w:sz w:val="22"/>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大型企业  </w:t>
      </w:r>
      <w:r>
        <w:rPr>
          <w:rFonts w:ascii="Wingdings" w:hAnsi="Wingdings" w:eastAsia="Wingdings" w:cs="Wingdings"/>
          <w:color w:val="000000"/>
          <w:sz w:val="22"/>
        </w:rPr>
        <w:t xml:space="preserve"></w:t>
      </w:r>
      <w:r>
        <w:rPr>
          <w:rFonts w:ascii="宋体" w:hAnsi="宋体" w:cs="宋体"/>
          <w:color w:val="000000"/>
          <w:sz w:val="22"/>
        </w:rPr>
        <w:t xml:space="preserve">中型企业  </w:t>
      </w:r>
      <w:r>
        <w:rPr>
          <w:rFonts w:ascii="Wingdings" w:hAnsi="Wingdings" w:eastAsia="Wingdings" w:cs="Wingdings"/>
          <w:color w:val="000000"/>
          <w:sz w:val="22"/>
        </w:rPr>
        <w:t xml:space="preserve"></w:t>
      </w:r>
      <w:r>
        <w:rPr>
          <w:rFonts w:ascii="宋体" w:hAnsi="宋体" w:cs="宋体"/>
          <w:color w:val="000000"/>
          <w:sz w:val="22"/>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残疾人福利性单位</w:t>
      </w:r>
      <w:r>
        <w:rPr>
          <w:rFonts w:ascii="Wingdings" w:hAnsi="Wingdings" w:eastAsia="Wingdings" w:cs="Wingdings"/>
          <w:color w:val="000000"/>
          <w:sz w:val="22"/>
        </w:rPr>
        <w:t xml:space="preserve"></w:t>
      </w:r>
      <w:r>
        <w:rPr>
          <w:rFonts w:ascii="宋体" w:hAnsi="宋体" w:cs="宋体"/>
          <w:color w:val="000000"/>
          <w:sz w:val="22"/>
        </w:rPr>
        <w:t xml:space="preserve">监狱企业</w:t>
      </w:r>
      <w:r>
        <w:rPr>
          <w:rFonts w:ascii="Wingdings" w:hAnsi="Wingdings" w:eastAsia="Wingdings" w:cs="Wingdings"/>
          <w:color w:val="000000"/>
          <w:sz w:val="22"/>
        </w:rPr>
        <w:t xml:space="preserve"></w:t>
      </w:r>
      <w:r>
        <w:rPr>
          <w:rFonts w:ascii="宋体" w:hAnsi="宋体" w:cs="宋体"/>
          <w:color w:val="000000"/>
          <w:sz w:val="22"/>
        </w:rPr>
        <w:t xml:space="preserve">其他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（8）中标（成交）供应商是否为外商投资企业：</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420"/>
        <w:spacing w:line="400" w:lineRule="atLeast"/>
        <w:tabs>
          <w:tab w:val="left" w:pos="134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外商投资企业类型：</w:t>
      </w:r>
      <w:r>
        <w:rPr>
          <w:rFonts w:ascii="Wingdings" w:hAnsi="Wingdings" w:eastAsia="Wingdings" w:cs="Wingdings"/>
          <w:color w:val="000000"/>
          <w:sz w:val="22"/>
        </w:rPr>
        <w:t xml:space="preserve"></w:t>
      </w:r>
      <w:r>
        <w:rPr>
          <w:rFonts w:ascii="宋体" w:hAnsi="宋体" w:cs="宋体"/>
          <w:color w:val="000000"/>
          <w:sz w:val="22"/>
        </w:rPr>
        <w:t xml:space="preserve">全部由外国投资者投资  </w:t>
      </w:r>
      <w:r>
        <w:rPr>
          <w:rFonts w:ascii="Wingdings" w:hAnsi="Wingdings" w:eastAsia="Wingdings" w:cs="Wingdings"/>
          <w:color w:val="000000"/>
          <w:sz w:val="22"/>
        </w:rPr>
        <w:t xml:space="preserve"></w:t>
      </w:r>
      <w:r>
        <w:rPr>
          <w:rFonts w:ascii="宋体" w:hAnsi="宋体" w:cs="宋体"/>
          <w:color w:val="000000"/>
          <w:sz w:val="22"/>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是，《政府采购品目分类目录》底级品目名称：</w:t>
      </w:r>
      <w:r/>
    </w:p>
    <w:p>
      <w:pPr>
        <w:ind w:firstLine="77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金额：小写：</w:t>
      </w:r>
      <w:r>
        <w:rPr>
          <w:rFonts w:ascii="宋体" w:hAnsi="宋体" w:cs="宋体"/>
          <w:color w:val="000000"/>
          <w:sz w:val="22"/>
          <w:u w:val="single"/>
        </w:rPr>
        <w:t xml:space="preserve">       元</w:t>
      </w:r>
      <w:r>
        <w:rPr>
          <w:rFonts w:ascii="宋体" w:hAnsi="宋体" w:cs="宋体"/>
          <w:color w:val="000000"/>
          <w:sz w:val="22"/>
        </w:rPr>
        <w:t xml:space="preserve">  大写：</w:t>
      </w:r>
      <w:r>
        <w:rPr>
          <w:rFonts w:ascii="宋体" w:hAnsi="宋体" w:cs="宋体"/>
          <w:color w:val="000000"/>
          <w:sz w:val="22"/>
          <w:u w:val="single"/>
        </w:rPr>
        <w:t xml:space="preserve">       圆整  </w:t>
      </w:r>
      <w:r/>
    </w:p>
    <w:p>
      <w:pPr>
        <w:ind w:firstLine="157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国别：</w:t>
      </w:r>
      <w:r/>
    </w:p>
    <w:p>
      <w:pPr>
        <w:ind w:firstLine="157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品牌： 规格型号：</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否</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（10）是否涉及节能产品：</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是，《节能产品政府采购品目清单》的底级品目名称：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强制采购  </w:t>
      </w:r>
      <w:r>
        <w:rPr>
          <w:rFonts w:ascii="Wingdings" w:hAnsi="Wingdings" w:eastAsia="Wingdings" w:cs="Wingdings"/>
          <w:color w:val="000000"/>
          <w:sz w:val="22"/>
        </w:rPr>
        <w:t xml:space="preserve"></w:t>
      </w:r>
      <w:r>
        <w:rPr>
          <w:rFonts w:ascii="宋体" w:hAnsi="宋体" w:cs="宋体"/>
          <w:color w:val="000000"/>
          <w:sz w:val="22"/>
        </w:rPr>
        <w:t xml:space="preserve">优先采购</w:t>
      </w:r>
      <w:r/>
    </w:p>
    <w:p>
      <w:pPr>
        <w:ind w:firstLine="738"/>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是否涉及环境标志产品：</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是，《环境标志产品政府采购品目清单》的底级品目名称：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强制采购  </w:t>
      </w:r>
      <w:r>
        <w:rPr>
          <w:rFonts w:ascii="Wingdings" w:hAnsi="Wingdings" w:eastAsia="Wingdings" w:cs="Wingdings"/>
          <w:color w:val="000000"/>
          <w:sz w:val="22"/>
        </w:rPr>
        <w:t xml:space="preserve"></w:t>
      </w:r>
      <w:r>
        <w:rPr>
          <w:rFonts w:ascii="宋体" w:hAnsi="宋体" w:cs="宋体"/>
          <w:color w:val="000000"/>
          <w:sz w:val="22"/>
        </w:rPr>
        <w:t xml:space="preserve">优先采购</w:t>
      </w:r>
      <w:r/>
    </w:p>
    <w:p>
      <w:pPr>
        <w:ind w:firstLine="738"/>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是否涉及绿色产品：</w:t>
      </w:r>
      <w:r/>
    </w:p>
    <w:p>
      <w:pPr>
        <w:ind w:firstLine="73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是，绿色产品政府采购相关政策确定的底级品目名称：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强制采购  </w:t>
      </w:r>
      <w:r>
        <w:rPr>
          <w:rFonts w:ascii="Wingdings" w:hAnsi="Wingdings" w:eastAsia="Wingdings" w:cs="Wingdings"/>
          <w:color w:val="000000"/>
          <w:sz w:val="22"/>
        </w:rPr>
        <w:t xml:space="preserve"></w:t>
      </w:r>
      <w:r>
        <w:rPr>
          <w:rFonts w:ascii="宋体" w:hAnsi="宋体" w:cs="宋体"/>
          <w:color w:val="000000"/>
          <w:sz w:val="22"/>
        </w:rPr>
        <w:t xml:space="preserve">优先采购</w:t>
      </w:r>
      <w:r/>
    </w:p>
    <w:p>
      <w:pPr>
        <w:ind w:firstLine="738"/>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    </w:t>
      </w:r>
      <w:r>
        <w:rPr>
          <w:rFonts w:ascii="Wingdings" w:hAnsi="Wingdings" w:eastAsia="Wingdings" w:cs="Wingdings"/>
          <w:color w:val="000000"/>
          <w:sz w:val="22"/>
        </w:rPr>
        <w:t xml:space="preserve"></w:t>
      </w:r>
      <w:r>
        <w:rPr>
          <w:rFonts w:ascii="宋体" w:hAnsi="宋体" w:cs="宋体"/>
          <w:color w:val="000000"/>
          <w:sz w:val="22"/>
        </w:rPr>
        <w:t xml:space="preserve">不涉及</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（1）合同金额小写：</w:t>
      </w:r>
      <w:r>
        <w:rPr>
          <w:rFonts w:ascii="宋体" w:hAnsi="宋体" w:cs="宋体"/>
          <w:color w:val="000000"/>
          <w:sz w:val="22"/>
          <w:u w:val="single"/>
        </w:rPr>
        <w:t xml:space="preserve">          元</w:t>
      </w:r>
      <w:r/>
    </w:p>
    <w:p>
      <w:pPr>
        <w:ind w:firstLine="178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大写：</w:t>
      </w:r>
      <w:r>
        <w:rPr>
          <w:rFonts w:ascii="宋体" w:hAnsi="宋体" w:cs="宋体"/>
          <w:color w:val="000000"/>
          <w:sz w:val="22"/>
          <w:u w:val="single"/>
        </w:rPr>
        <w:t xml:space="preserve">          圆整</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分包金额（如有）小写：</w:t>
      </w:r>
      <w:r>
        <w:rPr>
          <w:rFonts w:ascii="宋体" w:hAnsi="宋体" w:cs="宋体"/>
          <w:color w:val="000000"/>
          <w:sz w:val="22"/>
          <w:u w:val="single"/>
        </w:rPr>
        <w:t xml:space="preserve">无</w:t>
      </w:r>
      <w:r/>
    </w:p>
    <w:p>
      <w:pPr>
        <w:ind w:firstLine="26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大写：</w:t>
      </w:r>
      <w:r>
        <w:rPr>
          <w:rFonts w:ascii="宋体" w:hAnsi="宋体" w:cs="宋体"/>
          <w:color w:val="000000"/>
          <w:sz w:val="22"/>
          <w:u w:val="single"/>
        </w:rPr>
        <w:t xml:space="preserve">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（注：固定单价合同应填写单价和最高限价）</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（2）合同定价方式（采用组合定价方式的，可以勾选多项）：</w:t>
      </w:r>
      <w:r/>
    </w:p>
    <w:p>
      <w:pPr>
        <w:ind w:firstLine="636"/>
        <w:spacing w:line="400" w:lineRule="atLeast"/>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000000"/>
          <w:sz w:val="22"/>
        </w:rPr>
        <w:t xml:space="preserve"></w:t>
      </w:r>
      <w:r>
        <w:rPr>
          <w:rFonts w:ascii="宋体" w:hAnsi="宋体" w:cs="宋体"/>
          <w:color w:val="000000"/>
          <w:sz w:val="22"/>
        </w:rPr>
        <w:t xml:space="preserve">固定总价 </w:t>
      </w:r>
      <w:r>
        <w:rPr>
          <w:rFonts w:ascii="Wingdings" w:hAnsi="Wingdings" w:eastAsia="Wingdings" w:cs="Wingdings"/>
          <w:color w:val="000000"/>
          <w:sz w:val="22"/>
        </w:rPr>
        <w:t xml:space="preserve"></w:t>
      </w:r>
      <w:r>
        <w:rPr>
          <w:rFonts w:ascii="宋体" w:hAnsi="宋体" w:cs="宋体"/>
          <w:color w:val="000000"/>
          <w:sz w:val="22"/>
        </w:rPr>
        <w:t xml:space="preserve">固定单价 </w:t>
      </w:r>
      <w:r>
        <w:rPr>
          <w:rFonts w:ascii="Wingdings" w:hAnsi="Wingdings" w:eastAsia="Wingdings" w:cs="Wingdings"/>
          <w:color w:val="000000"/>
          <w:sz w:val="22"/>
        </w:rPr>
        <w:t xml:space="preserve"></w:t>
      </w:r>
      <w:r>
        <w:rPr>
          <w:rFonts w:ascii="宋体" w:hAnsi="宋体" w:cs="宋体"/>
          <w:color w:val="000000"/>
          <w:sz w:val="22"/>
        </w:rPr>
        <w:t xml:space="preserve">固定费率</w:t>
      </w:r>
      <w:r>
        <w:rPr>
          <w:rFonts w:ascii="Wingdings" w:hAnsi="Wingdings" w:eastAsia="Wingdings" w:cs="Wingdings"/>
          <w:color w:val="000000"/>
          <w:sz w:val="22"/>
        </w:rPr>
        <w:t xml:space="preserve"></w:t>
      </w:r>
      <w:r>
        <w:rPr>
          <w:rFonts w:ascii="宋体" w:hAnsi="宋体" w:cs="宋体"/>
          <w:color w:val="000000"/>
          <w:sz w:val="22"/>
        </w:rPr>
        <w:t xml:space="preserve">成本补偿</w:t>
      </w:r>
      <w:r>
        <w:rPr>
          <w:rFonts w:ascii="Wingdings" w:hAnsi="Wingdings" w:eastAsia="Wingdings" w:cs="Wingdings"/>
          <w:color w:val="000000"/>
          <w:sz w:val="22"/>
        </w:rPr>
        <w:t xml:space="preserve"></w:t>
      </w:r>
      <w:r>
        <w:rPr>
          <w:rFonts w:ascii="宋体" w:hAnsi="宋体" w:cs="宋体"/>
          <w:color w:val="000000"/>
          <w:sz w:val="22"/>
        </w:rPr>
        <w:t xml:space="preserve">绩效激励</w:t>
      </w:r>
      <w:r>
        <w:rPr>
          <w:rFonts w:ascii="Wingdings" w:hAnsi="Wingdings" w:eastAsia="Wingdings" w:cs="Wingdings"/>
          <w:color w:val="000000"/>
          <w:sz w:val="22"/>
        </w:rPr>
        <w:t xml:space="preserve"></w:t>
      </w:r>
      <w:r>
        <w:rPr>
          <w:rFonts w:ascii="宋体" w:hAnsi="宋体" w:cs="宋体"/>
          <w:color w:val="000000"/>
          <w:sz w:val="22"/>
        </w:rPr>
        <w:t xml:space="preserve">其他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全额付款：</w:t>
      </w:r>
      <w:r>
        <w:rPr>
          <w:rFonts w:ascii="宋体" w:hAnsi="宋体" w:cs="宋体"/>
          <w:color w:val="000000"/>
          <w:sz w:val="22"/>
          <w:u w:val="single"/>
        </w:rPr>
        <w:t xml:space="preserve">  无  （应明确一次性支付合同款项的条件）  </w:t>
      </w:r>
      <w:r/>
    </w:p>
    <w:p>
      <w:pPr>
        <w:ind w:firstLine="632"/>
        <w:spacing w:line="400" w:lineRule="atLeast"/>
        <w:rPr>
          <w:rFonts w:ascii="宋体" w:hAnsi="宋体" w:cs="宋体"/>
          <w:color w:val="000000"/>
          <w:sz w:val="22"/>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000000"/>
          <w:sz w:val="22"/>
        </w:rPr>
        <w:t xml:space="preserve"></w:t>
      </w:r>
      <w:r>
        <w:rPr>
          <w:rFonts w:ascii="宋体" w:hAnsi="宋体" w:cs="宋体"/>
          <w:color w:val="000000"/>
          <w:sz w:val="22"/>
        </w:rPr>
        <w:t xml:space="preserve">分期付款：</w:t>
      </w:r>
      <w:r>
        <w:rPr>
          <w:rFonts w:ascii="宋体" w:hAnsi="宋体" w:cs="宋体"/>
          <w:color w:val="000000"/>
          <w:sz w:val="22"/>
          <w:u w:val="single"/>
        </w:rPr>
        <w:t xml:space="preserve"> 合同生效后预付合同总价的30%；设备安装调试验收合格，正常使用三个月后未出现任何质量问题和合同约定等问题，且收到供方开具的全额发票后再支付合同总价的60%；设备正常使用无质量和合同约定等问题一年后支付合同总价的10%。 </w:t>
      </w:r>
      <w:r/>
    </w:p>
    <w:p>
      <w:pPr>
        <w:ind w:firstLine="630"/>
        <w:spacing w:line="400"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如果中标人为中小企业，按《保障中小企业款项支付条例》（国令第 802号）相关要求执行。</w:t>
      </w:r>
      <w:r/>
    </w:p>
    <w:p>
      <w:pPr>
        <w:ind w:firstLine="63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其中涉及预付款的：</w:t>
      </w:r>
      <w:r>
        <w:rPr>
          <w:rFonts w:ascii="宋体" w:hAnsi="宋体" w:cs="宋体"/>
          <w:color w:val="000000"/>
          <w:sz w:val="22"/>
          <w:u w:val="single"/>
        </w:rPr>
        <w:t xml:space="preserve"> 合同生效后预付合同总价的30%。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成本补偿：</w:t>
      </w:r>
      <w:r>
        <w:rPr>
          <w:rFonts w:ascii="宋体" w:hAnsi="宋体" w:cs="宋体"/>
          <w:color w:val="000000"/>
          <w:sz w:val="22"/>
          <w:u w:val="single"/>
        </w:rPr>
        <w:t xml:space="preserve">   无   （应明确按照成本补偿方式的支付方式和支付条件）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绩效激励：</w:t>
      </w:r>
      <w:r>
        <w:rPr>
          <w:rFonts w:ascii="宋体" w:hAnsi="宋体" w:cs="宋体"/>
          <w:color w:val="000000"/>
          <w:sz w:val="22"/>
          <w:u w:val="single"/>
        </w:rPr>
        <w:t xml:space="preserve">   无   （应明确按照绩效激励方式的支付方式和支付条件）   </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（1）供货期：乙方在合同生效后天</w:t>
      </w:r>
      <w:r>
        <w:rPr>
          <w:rFonts w:ascii="宋体" w:hAnsi="宋体" w:cs="宋体"/>
          <w:color w:val="000000"/>
          <w:sz w:val="22"/>
          <w:u w:val="single"/>
        </w:rPr>
        <w:t xml:space="preserve">     </w:t>
      </w:r>
      <w:r>
        <w:rPr>
          <w:rFonts w:ascii="宋体" w:hAnsi="宋体" w:cs="宋体"/>
          <w:color w:val="000000"/>
          <w:sz w:val="22"/>
        </w:rPr>
        <w:t xml:space="preserve">内，向甲方交付上述设备。</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质保期：设备自验收合格之日起免费原厂质保</w:t>
      </w:r>
      <w:r>
        <w:rPr>
          <w:rFonts w:ascii="宋体" w:hAnsi="宋体" w:cs="宋体"/>
          <w:color w:val="000000"/>
          <w:sz w:val="22"/>
          <w:u w:val="single"/>
        </w:rPr>
        <w:t xml:space="preserve">     </w:t>
      </w:r>
      <w:r>
        <w:rPr>
          <w:rFonts w:ascii="宋体" w:hAnsi="宋体" w:cs="宋体"/>
          <w:color w:val="000000"/>
          <w:sz w:val="22"/>
        </w:rPr>
        <w:t xml:space="preserve">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（2）履约地点：</w:t>
      </w:r>
      <w:r>
        <w:rPr>
          <w:rFonts w:ascii="宋体" w:hAnsi="宋体" w:cs="宋体"/>
          <w:color w:val="000000"/>
          <w:sz w:val="22"/>
          <w:u w:val="single"/>
        </w:rPr>
        <w:t xml:space="preserve">无锡市中医医院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（3）履约担保：是否收取履约保证金：</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2" w:hAnsi="Wingdings 2" w:eastAsia="Wingdings 2" w:cs="Wingdings 2"/>
          <w:b/>
          <w:color w:val="000000"/>
          <w:sz w:val="22"/>
        </w:rPr>
        <w:t xml:space="preserve"></w:t>
      </w:r>
      <w:r>
        <w:rPr>
          <w:rFonts w:ascii="宋体" w:hAnsi="宋体" w:cs="宋体"/>
          <w:color w:val="000000"/>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收取履约保证金形式：</w:t>
      </w:r>
      <w:r>
        <w:rPr>
          <w:rFonts w:ascii="宋体" w:hAnsi="宋体" w:cs="宋体"/>
          <w:color w:val="000000"/>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收取履约保证金金额：</w:t>
      </w:r>
      <w:r>
        <w:rPr>
          <w:rFonts w:ascii="宋体" w:hAnsi="宋体" w:cs="宋体"/>
          <w:color w:val="000000"/>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履约担保期限：</w:t>
      </w:r>
      <w:r>
        <w:rPr>
          <w:rFonts w:ascii="宋体" w:hAnsi="宋体" w:cs="宋体"/>
          <w:color w:val="000000"/>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（4）分期履行要求：</w:t>
      </w:r>
      <w:r>
        <w:rPr>
          <w:rFonts w:ascii="宋体" w:hAnsi="宋体" w:cs="宋体"/>
          <w:color w:val="000000"/>
          <w:sz w:val="22"/>
          <w:u w:val="single"/>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（5）风险处置措施和替代方案：</w:t>
      </w:r>
      <w:r>
        <w:rPr>
          <w:rFonts w:ascii="宋体" w:hAnsi="宋体" w:cs="宋体"/>
          <w:color w:val="000000"/>
          <w:sz w:val="22"/>
          <w:u w:val="single"/>
        </w:rPr>
        <w:t xml:space="preserve">/</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合同验收</w:t>
      </w:r>
      <w:r/>
    </w:p>
    <w:p>
      <w:pPr>
        <w:numPr>
          <w:ilvl w:val="0"/>
          <w:numId w:val="6"/>
        </w:numPr>
        <w:ind w:firstLine="1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验收组织方式：</w:t>
      </w:r>
      <w:r>
        <w:rPr>
          <w:rFonts w:ascii="Wingdings" w:hAnsi="Wingdings" w:eastAsia="Wingdings" w:cs="Wingdings"/>
          <w:color w:val="000000"/>
          <w:sz w:val="22"/>
        </w:rPr>
        <w:t xml:space="preserve"></w:t>
      </w:r>
      <w:r>
        <w:rPr>
          <w:rFonts w:ascii="宋体" w:hAnsi="宋体" w:cs="宋体"/>
          <w:color w:val="000000"/>
          <w:sz w:val="22"/>
        </w:rPr>
        <w:t xml:space="preserve">自行组织  </w:t>
      </w:r>
      <w:r>
        <w:rPr>
          <w:rFonts w:ascii="Wingdings" w:hAnsi="Wingdings" w:eastAsia="Wingdings" w:cs="Wingdings"/>
          <w:color w:val="000000"/>
          <w:sz w:val="22"/>
        </w:rPr>
        <w:t xml:space="preserve"></w:t>
      </w:r>
      <w:r>
        <w:rPr>
          <w:rFonts w:ascii="宋体" w:hAnsi="宋体" w:cs="宋体"/>
          <w:color w:val="000000"/>
          <w:sz w:val="22"/>
        </w:rPr>
        <w:t xml:space="preserve">委托第三方组织</w:t>
      </w:r>
      <w:r/>
    </w:p>
    <w:p>
      <w:pPr>
        <w:ind w:firstLine="85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验收主体：</w:t>
      </w:r>
      <w:r>
        <w:rPr>
          <w:rFonts w:ascii="宋体" w:hAnsi="宋体" w:cs="宋体"/>
          <w:color w:val="000000"/>
          <w:sz w:val="22"/>
          <w:u w:val="single"/>
        </w:rPr>
        <w:t xml:space="preserve">无锡市中医医院</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是否邀请本项目的其他供应商参加验收：</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是否邀请专家参加验收：</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是否邀请使用部门参加验收：</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是否邀请第三方检测机构参加验收：</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是否进行抽查检测：</w:t>
      </w:r>
      <w:r>
        <w:rPr>
          <w:rFonts w:ascii="Wingdings" w:hAnsi="Wingdings" w:eastAsia="Wingdings" w:cs="Wingdings"/>
          <w:color w:val="000000"/>
          <w:sz w:val="22"/>
        </w:rPr>
        <w:t xml:space="preserve"></w:t>
      </w:r>
      <w:r>
        <w:rPr>
          <w:rFonts w:ascii="宋体" w:hAnsi="宋体" w:cs="宋体"/>
          <w:color w:val="000000"/>
          <w:sz w:val="22"/>
        </w:rPr>
        <w:t xml:space="preserve">是，抽查比例：</w:t>
      </w: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是否存在破坏性检测：</w:t>
      </w:r>
      <w:r>
        <w:rPr>
          <w:rFonts w:ascii="Wingdings" w:hAnsi="Wingdings" w:eastAsia="Wingdings" w:cs="Wingdings"/>
          <w:color w:val="000000"/>
          <w:sz w:val="22"/>
        </w:rPr>
        <w:t xml:space="preserve"></w:t>
      </w:r>
      <w:r>
        <w:rPr>
          <w:rFonts w:ascii="宋体" w:hAnsi="宋体" w:cs="宋体"/>
          <w:color w:val="000000"/>
          <w:sz w:val="22"/>
        </w:rPr>
        <w:t xml:space="preserve">是，</w:t>
      </w:r>
      <w:r>
        <w:rPr>
          <w:rFonts w:ascii="宋体" w:hAnsi="宋体" w:cs="宋体"/>
          <w:color w:val="000000"/>
          <w:sz w:val="22"/>
          <w:u w:val="single"/>
        </w:rPr>
        <w:t xml:space="preserve">（应明确对被破坏的检测产品的处理方式） </w:t>
      </w:r>
      <w:r>
        <w:rPr>
          <w:rFonts w:ascii="Wingdings" w:hAnsi="Wingdings" w:eastAsia="Wingdings" w:cs="Wingdings"/>
          <w:color w:val="000000"/>
          <w:sz w:val="22"/>
        </w:rPr>
        <w:t xml:space="preserve"></w:t>
      </w:r>
      <w:r>
        <w:rPr>
          <w:rFonts w:ascii="宋体" w:hAnsi="宋体" w:cs="宋体"/>
          <w:color w:val="000000"/>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验收组织的其他事项：</w:t>
      </w:r>
      <w:r>
        <w:rPr>
          <w:rFonts w:ascii="宋体" w:hAnsi="宋体" w:cs="宋体"/>
          <w:color w:val="000000"/>
          <w:sz w:val="22"/>
          <w:u w:val="single"/>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（2）履约验收时间：</w:t>
      </w:r>
      <w:r>
        <w:rPr>
          <w:rFonts w:ascii="宋体" w:hAnsi="宋体" w:cs="宋体"/>
          <w:color w:val="000000"/>
          <w:sz w:val="22"/>
          <w:u w:val="single"/>
        </w:rPr>
        <w:t xml:space="preserve">乙方在合同生效后    天内，向甲方交付上述设备。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（3）履约验收方式：</w:t>
      </w:r>
      <w:r>
        <w:rPr>
          <w:rFonts w:ascii="Wingdings 2" w:hAnsi="Wingdings 2" w:eastAsia="Wingdings 2" w:cs="Wingdings 2"/>
          <w:b/>
          <w:color w:val="000000"/>
          <w:sz w:val="22"/>
        </w:rPr>
        <w:t xml:space="preserve"></w:t>
      </w:r>
      <w:r>
        <w:rPr>
          <w:rFonts w:ascii="宋体" w:hAnsi="宋体" w:cs="宋体"/>
          <w:color w:val="000000"/>
          <w:sz w:val="22"/>
        </w:rPr>
        <w:t xml:space="preserve">一次性验收         </w:t>
      </w:r>
      <w:r/>
    </w:p>
    <w:p>
      <w:pPr>
        <w:ind w:firstLine="241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2"/>
        </w:rPr>
        <w:t xml:space="preserve"></w:t>
      </w:r>
      <w:r>
        <w:rPr>
          <w:rFonts w:ascii="宋体" w:hAnsi="宋体" w:cs="宋体"/>
          <w:color w:val="000000"/>
          <w:sz w:val="22"/>
        </w:rPr>
        <w:t xml:space="preserve">分期/分项验收：</w:t>
      </w:r>
      <w:r>
        <w:rPr>
          <w:rFonts w:ascii="宋体" w:hAnsi="宋体" w:cs="宋体"/>
          <w:color w:val="000000"/>
          <w:sz w:val="22"/>
          <w:u w:val="single"/>
        </w:rPr>
        <w:t xml:space="preserve">（应明确分期/分项验收的工作安排）</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（4）履约验收程序：</w:t>
      </w:r>
      <w:r>
        <w:rPr>
          <w:rFonts w:ascii="宋体" w:hAnsi="宋体" w:cs="宋体"/>
          <w:color w:val="000000"/>
          <w:sz w:val="22"/>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（5）履约验收的内容：</w:t>
      </w:r>
      <w:r>
        <w:rPr>
          <w:rFonts w:ascii="宋体" w:hAnsi="宋体" w:cs="宋体"/>
          <w:color w:val="000000"/>
          <w:sz w:val="22"/>
          <w:u w:val="single"/>
        </w:rPr>
        <w:t xml:space="preserve"> 设备数量、外观、质量、性能、随机备件、装箱单、质量证书等随机资料及包装完整无破损，必须全部满足招标书中所列规格、型号、具体配置、技术条件、功能要求以及供方承诺的其它指标。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（6）履约验收标准：</w:t>
      </w:r>
      <w:r>
        <w:rPr>
          <w:rFonts w:ascii="宋体" w:hAnsi="宋体" w:cs="宋体"/>
          <w:color w:val="000000"/>
          <w:sz w:val="22"/>
          <w:u w:val="single"/>
        </w:rPr>
        <w:t xml:space="preserve">验收应在甲乙双方共同参加下进行，按照国家技术质量检验标准及行业标准验收。该设备应为原制造商制造的全新产品，整机无污染、无侵权行为、无任何缺陷隐患。同时要求进口产品设备到货日期距其生产日期不超过180个日历日，国产产品设备到货日期距其生产日期不超过90个日历日（生产日期以铭牌或说明书中记载的日期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（7）是否以采购活动中供应商提供的样品作为参考：</w:t>
      </w:r>
      <w:r>
        <w:rPr>
          <w:rFonts w:ascii="Wingdings" w:hAnsi="Wingdings" w:eastAsia="Wingdings" w:cs="Wingdings"/>
          <w:color w:val="000000"/>
          <w:sz w:val="22"/>
        </w:rPr>
        <w:t xml:space="preserve"></w:t>
      </w:r>
      <w:r>
        <w:rPr>
          <w:rFonts w:ascii="宋体" w:hAnsi="宋体" w:cs="宋体"/>
          <w:color w:val="000000"/>
          <w:sz w:val="22"/>
        </w:rPr>
        <w:t xml:space="preserve">是  </w:t>
      </w:r>
      <w:r>
        <w:rPr>
          <w:rFonts w:ascii="Wingdings 2" w:hAnsi="Wingdings 2" w:eastAsia="Wingdings 2" w:cs="Wingdings 2"/>
          <w:b/>
          <w:color w:val="000000"/>
          <w:sz w:val="22"/>
        </w:rPr>
        <w:t xml:space="preserve"></w:t>
      </w:r>
      <w:r>
        <w:rPr>
          <w:rFonts w:ascii="宋体" w:hAnsi="宋体" w:cs="宋体"/>
          <w:color w:val="000000"/>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（8）履约验收其他事项：</w:t>
      </w:r>
      <w:r>
        <w:rPr>
          <w:rFonts w:ascii="宋体" w:hAnsi="宋体" w:cs="宋体"/>
          <w:color w:val="000000"/>
          <w:sz w:val="22"/>
          <w:u w:val="single"/>
        </w:rPr>
        <w:t xml:space="preserve">    无  （产权过户登记等）</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组成合同的文件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本协议书与下列文件一起构成合同文件，如下述文件之间有任何抵触、矛盾或歧义，应按以下顺序解释：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（1）政府采购合同协议书及其变更、补充协议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（2）政府采购合同专用条款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（3）政府采购合同通用条款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（4）中标（成交）通知书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（5）投标（响应）文件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（6）采购文件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（7）有关技术文件，图纸</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（8）国家法律、行政法规和规章制度规定或合同约定的作为合同组成部分的其他文件</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合同生效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本合同自 </w:t>
      </w:r>
      <w:r>
        <w:rPr>
          <w:rFonts w:ascii="宋体" w:hAnsi="宋体" w:cs="宋体"/>
          <w:color w:val="000000"/>
          <w:sz w:val="22"/>
          <w:u w:val="single"/>
        </w:rPr>
        <w:t xml:space="preserve">供需双方代表签字并盖章后</w:t>
      </w:r>
      <w:r>
        <w:rPr>
          <w:rFonts w:ascii="宋体" w:hAnsi="宋体" w:cs="宋体"/>
          <w:color w:val="000000"/>
          <w:sz w:val="22"/>
        </w:rPr>
        <w:t xml:space="preserve">生效。</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合同份数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本合同一式</w:t>
      </w:r>
      <w:r>
        <w:rPr>
          <w:rFonts w:hint="eastAsia" w:ascii="宋体" w:hAnsi="宋体" w:cs="宋体"/>
          <w:color w:val="000000"/>
          <w:sz w:val="22"/>
          <w:u w:val="single"/>
        </w:rPr>
        <w:t xml:space="preserve"> 四 </w:t>
      </w:r>
      <w:r>
        <w:rPr>
          <w:rFonts w:ascii="宋体" w:hAnsi="宋体" w:cs="宋体"/>
          <w:color w:val="000000"/>
          <w:sz w:val="22"/>
        </w:rPr>
        <w:t xml:space="preserve">份，甲方执</w:t>
      </w:r>
      <w:r>
        <w:rPr>
          <w:rFonts w:hint="eastAsia" w:ascii="宋体" w:hAnsi="宋体" w:cs="宋体"/>
          <w:color w:val="000000"/>
          <w:sz w:val="22"/>
          <w:u w:val="single"/>
        </w:rPr>
        <w:t xml:space="preserve"> 三 </w:t>
      </w:r>
      <w:r>
        <w:rPr>
          <w:rFonts w:ascii="宋体" w:hAnsi="宋体" w:cs="宋体"/>
          <w:color w:val="000000"/>
          <w:sz w:val="22"/>
        </w:rPr>
        <w:t xml:space="preserve">份，乙方执</w:t>
      </w:r>
      <w:r>
        <w:rPr>
          <w:rFonts w:ascii="宋体" w:hAnsi="宋体" w:cs="宋体"/>
          <w:color w:val="000000"/>
          <w:sz w:val="22"/>
          <w:u w:val="single"/>
        </w:rPr>
        <w:t xml:space="preserve">一</w:t>
      </w:r>
      <w:r>
        <w:rPr>
          <w:rFonts w:ascii="宋体" w:hAnsi="宋体" w:cs="宋体"/>
          <w:color w:val="000000"/>
          <w:sz w:val="22"/>
        </w:rPr>
        <w:t xml:space="preserve">份，，均具有同等法律效力。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合同订立时间：</w:t>
      </w:r>
      <w:r>
        <w:rPr>
          <w:rFonts w:ascii="宋体" w:hAnsi="宋体" w:cs="宋体"/>
          <w:color w:val="000000"/>
          <w:sz w:val="22"/>
          <w:u w:val="single"/>
        </w:rPr>
        <w:t xml:space="preserve">  </w:t>
      </w:r>
      <w:r>
        <w:rPr>
          <w:rFonts w:ascii="宋体" w:hAnsi="宋体" w:cs="宋体"/>
          <w:color w:val="000000"/>
          <w:sz w:val="22"/>
        </w:rPr>
        <w:t xml:space="preserve">年</w:t>
      </w:r>
      <w:r>
        <w:rPr>
          <w:rFonts w:ascii="宋体" w:hAnsi="宋体" w:cs="宋体"/>
          <w:color w:val="000000"/>
          <w:sz w:val="22"/>
          <w:u w:val="single"/>
        </w:rPr>
        <w:t xml:space="preserve">   </w:t>
      </w:r>
      <w:r>
        <w:rPr>
          <w:rFonts w:ascii="宋体" w:hAnsi="宋体" w:cs="宋体"/>
          <w:color w:val="000000"/>
          <w:sz w:val="22"/>
        </w:rPr>
        <w:t xml:space="preserve">月</w:t>
      </w:r>
      <w:r>
        <w:rPr>
          <w:rFonts w:ascii="宋体" w:hAnsi="宋体" w:cs="宋体"/>
          <w:color w:val="000000"/>
          <w:sz w:val="22"/>
          <w:u w:val="single"/>
        </w:rPr>
        <w:t xml:space="preserve">   </w:t>
      </w:r>
      <w:r>
        <w:rPr>
          <w:rFonts w:ascii="宋体" w:hAnsi="宋体" w:cs="宋体"/>
          <w:color w:val="000000"/>
          <w:sz w:val="22"/>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合同订立地点：</w:t>
      </w:r>
      <w:r>
        <w:rPr>
          <w:rFonts w:ascii="宋体" w:hAnsi="宋体" w:cs="宋体"/>
          <w:color w:val="000000"/>
          <w:sz w:val="22"/>
          <w:u w:val="single"/>
        </w:rPr>
        <w:t xml:space="preserve">无锡市中医医院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附件：具体标的及其技术要求和商务要求、联合协议、分包意向协议等。</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p>
    <w:p>
      <w:pPr>
        <w:ind w:firstLine="440"/>
        <w:spacing w:line="400" w:lineRule="atLeast"/>
        <w:pBdr>
          <w:top w:val="none" w:color="000000" w:sz="0" w:space="0"/>
          <w:left w:val="none" w:color="000000" w:sz="0" w:space="0"/>
          <w:bottom w:val="none" w:color="000000" w:sz="0" w:space="0"/>
          <w:right w:val="none" w:color="000000" w:sz="0" w:space="0"/>
        </w:pBdr>
      </w:p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8"/>
        <w:gridCol w:w="2641"/>
        <w:gridCol w:w="2138"/>
        <w:gridCol w:w="2332"/>
      </w:tblGrid>
      <w:tr>
        <w:trP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法定代表人</w:t>
            </w:r>
            <w:r/>
          </w:p>
          <w:p>
            <w:pPr>
              <w:ind w:firstLine="101"/>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法定代表人</w:t>
            </w:r>
            <w:r/>
          </w:p>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无锡市中南西路</w:t>
            </w:r>
            <w:r>
              <w:rPr>
                <w:rFonts w:eastAsia="Times New Roman"/>
                <w:color w:val="000000"/>
                <w:sz w:val="22"/>
              </w:rPr>
              <w:t xml:space="preserve">8</w:t>
            </w:r>
            <w:r>
              <w:rPr>
                <w:rFonts w:ascii="宋体" w:hAnsi="宋体" w:cs="宋体"/>
                <w:color w:val="000000"/>
                <w:sz w:val="22"/>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color w:val="000000"/>
                <w:spacing w:val="20"/>
                <w:sz w:val="22"/>
              </w:rPr>
              <w:t xml:space="preserve"> </w:t>
            </w:r>
            <w:r/>
          </w:p>
        </w:tc>
      </w:tr>
      <w:tr>
        <w:trP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spacing w:before="12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注：涉及联合体或其他合同主体的信息应按上表格式加列。</w:t>
            </w:r>
            <w:r/>
          </w:p>
        </w:tc>
      </w:tr>
    </w:tbl>
    <w:p>
      <w:pPr>
        <w:pBdr>
          <w:top w:val="none" w:color="000000" w:sz="0" w:space="0"/>
          <w:left w:val="none" w:color="000000" w:sz="0" w:space="0"/>
          <w:bottom w:val="none" w:color="000000" w:sz="0" w:space="0"/>
          <w:right w:val="none" w:color="000000" w:sz="0" w:space="0"/>
        </w:pBdr>
      </w:pPr>
      <w:r>
        <w:br w:type="page" w:clear="all"/>
      </w:r>
      <w:r/>
    </w:p>
    <w:p>
      <w:pPr>
        <w:jc w:val="center"/>
        <w:spacing w:before="120" w:after="20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第二节 政府采购合同通用条款</w:t>
      </w:r>
      <w:r/>
    </w:p>
    <w:p>
      <w:pPr>
        <w:spacing w:line="400" w:lineRule="atLeast"/>
        <w:tabs>
          <w:tab w:val="left" w:pos="8820" w:leader="none"/>
          <w:tab w:val="left" w:pos="9345" w:leader="none"/>
          <w:tab w:val="left" w:pos="9765"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1.定义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1.1合同当事人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（1）采购人（以下称甲方）是指使用财政性资金，通过政府采购方式向供应商购买货物及其相关服务的国家机关、事业单位、团体组织。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（2）供应商（以下称乙方）是指参加政府采购活动并且中标（成交），向采购人提供合同约定的货物及其相关服务的法人、非法人组织或者自然人。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1.2本合同下列术语应解释为：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sz w:val="22"/>
        </w:rPr>
        <w:t xml:space="preserve">政府采购合同专用条款</w:t>
      </w:r>
      <w:r>
        <w:rPr>
          <w:rFonts w:ascii="宋体" w:hAnsi="宋体" w:cs="宋体"/>
          <w:color w:val="000000"/>
          <w:sz w:val="22"/>
        </w:rPr>
        <w:t xml:space="preserve">】。</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（7）其他术语解释，见【</w:t>
      </w:r>
      <w:r>
        <w:rPr>
          <w:rFonts w:ascii="宋体" w:hAnsi="宋体" w:cs="宋体"/>
          <w:b/>
          <w:color w:val="000000"/>
          <w:sz w:val="22"/>
        </w:rPr>
        <w:t xml:space="preserve">政府采购合同专用条款</w:t>
      </w:r>
      <w:r>
        <w:rPr>
          <w:rFonts w:ascii="宋体" w:hAnsi="宋体" w:cs="宋体"/>
          <w:color w:val="000000"/>
          <w:sz w:val="22"/>
        </w:rPr>
        <w:t xml:space="preserve">】。</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合同标的及金额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2.1 合同标的及金额应与中标（成交）结果一致。乙方为履行本合同而发生的所有费用均应包含在合同价款中，甲方不再另行支付其他任何费用。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3.履行合同的时间、地点和方式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3.1 乙方应当在约定的时间、地点，按照约定方式履行合同。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4.甲方的权利和义务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4.3甲方有权要求乙方对缺陷部分予以修复，并按合同约定享有货物保修及其他合同约定的权利。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4.4 甲方应当按照合同约定及时对交付的货物进行验收，未在【</w:t>
      </w:r>
      <w:r>
        <w:rPr>
          <w:rFonts w:ascii="宋体" w:hAnsi="宋体" w:cs="宋体"/>
          <w:b/>
          <w:color w:val="000000"/>
          <w:sz w:val="22"/>
        </w:rPr>
        <w:t xml:space="preserve">政府采购合同专用条款</w:t>
      </w:r>
      <w:r>
        <w:rPr>
          <w:rFonts w:ascii="宋体" w:hAnsi="宋体" w:cs="宋体"/>
          <w:color w:val="000000"/>
          <w:sz w:val="22"/>
        </w:rPr>
        <w:t xml:space="preserve">】约定的期限内对乙方履约提出任何异议或者向乙方作出任何说明的，视为验收通过。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4.5甲方应当根据合同约定及时向乙方支付合同价款，不得以内部人员变更、履行内部付款流程等为由，拒绝或迟延支付。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4.6国家法律法规规定及【</w:t>
      </w:r>
      <w:r>
        <w:rPr>
          <w:rFonts w:ascii="宋体" w:hAnsi="宋体" w:cs="宋体"/>
          <w:b/>
          <w:color w:val="000000"/>
          <w:sz w:val="22"/>
        </w:rPr>
        <w:t xml:space="preserve">政府采购合同专用条款</w:t>
      </w:r>
      <w:r>
        <w:rPr>
          <w:rFonts w:ascii="宋体" w:hAnsi="宋体" w:cs="宋体"/>
          <w:color w:val="000000"/>
          <w:sz w:val="22"/>
        </w:rPr>
        <w:t xml:space="preserve">】约定应由甲方承担的其他义务和责任。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5.乙方的权利和义务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5.1 签署合同后，乙方应确定项目负责人（或项目联系人），负责与本合同有关的事务。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5.3乙方有权根据合同约定向甲方收取合同价款。</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5.4国家法律法规规定及【</w:t>
      </w:r>
      <w:r>
        <w:rPr>
          <w:rFonts w:ascii="宋体" w:hAnsi="宋体" w:cs="宋体"/>
          <w:b/>
          <w:color w:val="000000"/>
          <w:sz w:val="22"/>
        </w:rPr>
        <w:t xml:space="preserve">政府采购合同专用条款</w:t>
      </w:r>
      <w:r>
        <w:rPr>
          <w:rFonts w:ascii="宋体" w:hAnsi="宋体" w:cs="宋体"/>
          <w:color w:val="000000"/>
          <w:sz w:val="22"/>
        </w:rPr>
        <w:t xml:space="preserve">】约定应由乙方承担的其他义务和责任。</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6.1</w:t>
      </w:r>
      <w:r>
        <w:rPr>
          <w:rFonts w:ascii="宋体" w:hAnsi="宋体" w:cs="宋体"/>
          <w:color w:val="000000"/>
          <w:sz w:val="22"/>
        </w:rPr>
        <w:t xml:space="preserve">甲乙双方应当按照【</w:t>
      </w:r>
      <w:r>
        <w:rPr>
          <w:rFonts w:ascii="宋体" w:hAnsi="宋体" w:cs="宋体"/>
          <w:b/>
          <w:color w:val="000000"/>
          <w:sz w:val="22"/>
        </w:rPr>
        <w:t xml:space="preserve">政府采购合同专用条款</w:t>
      </w:r>
      <w:r>
        <w:rPr>
          <w:rFonts w:ascii="宋体" w:hAnsi="宋体" w:cs="宋体"/>
          <w:color w:val="000000"/>
          <w:sz w:val="22"/>
        </w:rPr>
        <w:t xml:space="preserve">】约定顺序履行合同义务；如果没有先后顺序的，应当同时履行。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7.货物包装、运输、保险和交付要求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7.1 本合同涉及商品包装、快递包装的，除【</w:t>
      </w:r>
      <w:r>
        <w:rPr>
          <w:rFonts w:ascii="宋体" w:hAnsi="宋体" w:cs="宋体"/>
          <w:b/>
          <w:color w:val="000000"/>
          <w:sz w:val="22"/>
        </w:rPr>
        <w:t xml:space="preserve">政府采购合同专用条款</w:t>
      </w:r>
      <w:r>
        <w:rPr>
          <w:rFonts w:ascii="宋体" w:hAnsi="宋体" w:cs="宋体"/>
          <w:color w:val="000000"/>
          <w:sz w:val="22"/>
        </w:rPr>
        <w:t xml:space="preserve">】另有约定外，包装应适应远距离运输、防潮、防震、防锈和防野蛮装卸等要求，确保货物安全无损地运抵【</w:t>
      </w:r>
      <w:r>
        <w:rPr>
          <w:rFonts w:ascii="宋体" w:hAnsi="宋体" w:cs="宋体"/>
          <w:b/>
          <w:color w:val="000000"/>
          <w:sz w:val="22"/>
        </w:rPr>
        <w:t xml:space="preserve">政府采购合同专用条款</w:t>
      </w:r>
      <w:r>
        <w:rPr>
          <w:rFonts w:ascii="宋体" w:hAnsi="宋体" w:cs="宋体"/>
          <w:color w:val="000000"/>
          <w:sz w:val="22"/>
        </w:rPr>
        <w:t xml:space="preserve">】约定的指定现场。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7.2 除【</w:t>
      </w:r>
      <w:r>
        <w:rPr>
          <w:rFonts w:ascii="宋体" w:hAnsi="宋体" w:cs="宋体"/>
          <w:b/>
          <w:color w:val="000000"/>
          <w:sz w:val="22"/>
        </w:rPr>
        <w:t xml:space="preserve">政府采购合同专用条款</w:t>
      </w:r>
      <w:r>
        <w:rPr>
          <w:rFonts w:ascii="宋体" w:hAnsi="宋体" w:cs="宋体"/>
          <w:color w:val="000000"/>
          <w:sz w:val="22"/>
        </w:rPr>
        <w:t xml:space="preserve">】另有约定外，乙方负责办理将货物运抵本合同规定的交货地点，并装卸、交付至甲方的一切运输事项，相关费用应包含在合同价款中。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7.3 货物保险要求按【</w:t>
      </w:r>
      <w:r>
        <w:rPr>
          <w:rFonts w:ascii="宋体" w:hAnsi="宋体" w:cs="宋体"/>
          <w:b/>
          <w:color w:val="000000"/>
          <w:sz w:val="22"/>
        </w:rPr>
        <w:t xml:space="preserve">政府采购合同专用条款</w:t>
      </w:r>
      <w:r>
        <w:rPr>
          <w:rFonts w:ascii="宋体" w:hAnsi="宋体" w:cs="宋体"/>
          <w:color w:val="000000"/>
          <w:sz w:val="22"/>
        </w:rPr>
        <w:t xml:space="preserve">】规定执行。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7.5 乙方在运输到达之前应提前通知甲方，并提示货物运输装卸的注意事项，甲方配合乙方做好货物的接收工作。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7.6 如因包装、运输问题导致货物损毁、丢失或者品质下降，甲方有权要求降价、换货、拒收部分或整批货物，由此产生的费用和损失，均由乙方承担。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8. 质量标准和保证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8.1质量标准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（2）采用中华人民共和国法定计量单位。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（3）乙方所提供的货物应符合国家有关安全、环保、卫生的规定。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8.2 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sz w:val="22"/>
        </w:rPr>
        <w:t xml:space="preserve">【政府采购合同专用条款】</w:t>
      </w:r>
      <w:r>
        <w:rPr>
          <w:rFonts w:ascii="宋体" w:hAnsi="宋体" w:cs="宋体"/>
          <w:color w:val="000000"/>
          <w:sz w:val="22"/>
        </w:rPr>
        <w:t xml:space="preserve">规定或乙方书面承诺（两者以较长的为准）的质量保证期内，本保证保持有效。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（2）在质量保证期内所发现的缺陷，甲方应尽快以书面形式通知乙方。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（3）乙方收到通知后，应在</w:t>
      </w:r>
      <w:r>
        <w:rPr>
          <w:rFonts w:ascii="宋体" w:hAnsi="宋体" w:cs="宋体"/>
          <w:b/>
          <w:color w:val="000000"/>
          <w:sz w:val="22"/>
        </w:rPr>
        <w:t xml:space="preserve">【政府采购合同专用条款】</w:t>
      </w:r>
      <w:r>
        <w:rPr>
          <w:rFonts w:ascii="宋体" w:hAnsi="宋体" w:cs="宋体"/>
          <w:color w:val="000000"/>
          <w:sz w:val="22"/>
        </w:rPr>
        <w:t xml:space="preserve">规定的响应时间内以合理的速度免费维修或更换有缺陷的货物或部件。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（5）乙方在约定的时间内未能弥补缺陷，甲方可采取必要的补救措施，但其风险和费用将由乙方承担，甲方根据合同约定对乙方行使的其他权利不受影响。</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9.权利瑕疵担保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9.1 乙方保证对其出售的货物享有合法的权利。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9.2 乙方保证在交付的货物上不存在抵押权等担保物权。</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9.3 如甲方使用上述货物构成对第三人侵权的，则由乙方承担全部责任。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10.知识产权保护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11.保密义务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sz w:val="22"/>
        </w:rPr>
        <w:t xml:space="preserve">【政府采购合同专用条款】</w:t>
      </w:r>
      <w:r>
        <w:rPr>
          <w:rFonts w:ascii="宋体" w:hAnsi="宋体" w:cs="宋体"/>
          <w:color w:val="000000"/>
          <w:sz w:val="22"/>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12.合同价款支付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12.1 合同价款支付按照国库集中支付制度及财政管理相关规定执行。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12.2 对于满足合同约定支付条件的，甲方将资金支付到乙方指定账户，具体合同价款支付时间在【</w:t>
      </w:r>
      <w:r>
        <w:rPr>
          <w:rFonts w:ascii="宋体" w:hAnsi="宋体" w:cs="宋体"/>
          <w:b/>
          <w:color w:val="000000"/>
          <w:sz w:val="22"/>
        </w:rPr>
        <w:t xml:space="preserve">政府采购合同专用条款</w:t>
      </w:r>
      <w:r>
        <w:rPr>
          <w:rFonts w:ascii="宋体" w:hAnsi="宋体" w:cs="宋体"/>
          <w:color w:val="000000"/>
          <w:sz w:val="22"/>
        </w:rPr>
        <w:t xml:space="preserve">】中约定。（具体合同具体约定）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13.履约保证金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13.1 乙方应当以支票、汇票、本票或者金融机构、担保机构出具的保函等非现金形式提交。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13.2 如果乙方出现</w:t>
      </w:r>
      <w:r>
        <w:rPr>
          <w:rFonts w:ascii="宋体" w:hAnsi="宋体" w:cs="宋体"/>
          <w:b/>
          <w:color w:val="000000"/>
          <w:sz w:val="22"/>
        </w:rPr>
        <w:t xml:space="preserve">【政府采购合同专用条款】</w:t>
      </w:r>
      <w:r>
        <w:rPr>
          <w:rFonts w:ascii="宋体" w:hAnsi="宋体" w:cs="宋体"/>
          <w:color w:val="000000"/>
          <w:sz w:val="22"/>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13.3甲方在项目通过验收后按照</w:t>
      </w:r>
      <w:r>
        <w:rPr>
          <w:rFonts w:ascii="宋体" w:hAnsi="宋体" w:cs="宋体"/>
          <w:b/>
          <w:color w:val="000000"/>
          <w:sz w:val="22"/>
        </w:rPr>
        <w:t xml:space="preserve">【政府采购合同专用条款】</w:t>
      </w:r>
      <w:r>
        <w:rPr>
          <w:rFonts w:ascii="宋体" w:hAnsi="宋体" w:cs="宋体"/>
          <w:color w:val="000000"/>
          <w:sz w:val="22"/>
        </w:rPr>
        <w:t xml:space="preserve">规定的时间内将履约保证金退还乙方。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14.售后服务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14.1 除项目不涉及或采购活动中明确约定无须承担外，乙方还应提供下列服务：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（1）货物的现场移动、安装、调试、启动监督及技术支持；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（2）提供货物组装和维修所需的专用工具和辅助材料；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（3）在</w:t>
      </w:r>
      <w:r>
        <w:rPr>
          <w:rFonts w:ascii="宋体" w:hAnsi="宋体" w:cs="宋体"/>
          <w:b/>
          <w:color w:val="000000"/>
          <w:sz w:val="22"/>
        </w:rPr>
        <w:t xml:space="preserve">【政府采购合同专用条款】</w:t>
      </w:r>
      <w:r>
        <w:rPr>
          <w:rFonts w:ascii="宋体" w:hAnsi="宋体" w:cs="宋体"/>
          <w:color w:val="000000"/>
          <w:sz w:val="22"/>
        </w:rPr>
        <w:t xml:space="preserve">约定的期限内对所有的货物实施运行监督、维修，但前提条件是该服务并不能免除乙方在质量保证期内所承担的义务；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（4）在制造商所在地或指定现场就货物的安装、启动、运营、维护、废弃处置等对甲方操作人员进行培训；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rPr>
          <w:rFonts w:ascii="宋体" w:hAnsi="宋体" w:cs="宋体"/>
          <w:b/>
          <w:color w:val="000000"/>
          <w:sz w:val="22"/>
        </w:rPr>
        <w:t xml:space="preserve">【政府采购合同专用条款】</w:t>
      </w:r>
      <w:r>
        <w:rPr>
          <w:rFonts w:ascii="宋体" w:hAnsi="宋体" w:cs="宋体"/>
          <w:color w:val="000000"/>
          <w:sz w:val="22"/>
        </w:rPr>
        <w:t xml:space="preserve">规定由乙方提供的其他服务。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14.2 乙方提供的售后服务的费用已包含在合同价款中，甲方不再另行支付。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15.违约责任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15.1质量瑕疵的违约责任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乙方提供的产品不符合合同约定的质量标准或存在产品质量缺陷，甲方有权要求乙方根据【</w:t>
      </w:r>
      <w:r>
        <w:rPr>
          <w:rFonts w:ascii="宋体" w:hAnsi="宋体" w:cs="宋体"/>
          <w:b/>
          <w:color w:val="000000"/>
          <w:sz w:val="22"/>
        </w:rPr>
        <w:t xml:space="preserve">政府采购合同专用条款</w:t>
      </w:r>
      <w:r>
        <w:rPr>
          <w:rFonts w:ascii="宋体" w:hAnsi="宋体" w:cs="宋体"/>
          <w:color w:val="000000"/>
          <w:sz w:val="22"/>
        </w:rPr>
        <w:t xml:space="preserve">】要求及时修理、重作、更换、退款退货，并有权要求乙方承担由此给甲方造成的损失。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15.2 迟延交货的违约责任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sz w:val="22"/>
        </w:rPr>
        <w:t xml:space="preserve">【政府采购合同专用条款】</w:t>
      </w:r>
      <w:r>
        <w:rPr>
          <w:rFonts w:ascii="宋体" w:hAnsi="宋体" w:cs="宋体"/>
          <w:color w:val="000000"/>
          <w:sz w:val="22"/>
        </w:rPr>
        <w:t xml:space="preserve">规定执行。如果涉及公共利益，且赔偿金额无法弥补公共利益损失，甲方可要求继续履行或者采取其他补救措施。</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15.3 迟延支付的违约责任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甲方存在迟延支付乙方合同款项的，按</w:t>
      </w:r>
      <w:r>
        <w:rPr>
          <w:rFonts w:ascii="宋体" w:hAnsi="宋体" w:cs="宋体"/>
          <w:b/>
          <w:color w:val="000000"/>
          <w:sz w:val="22"/>
        </w:rPr>
        <w:t xml:space="preserve">【政府采购合同专用条款】</w:t>
      </w:r>
      <w:r>
        <w:rPr>
          <w:rFonts w:ascii="宋体" w:hAnsi="宋体" w:cs="宋体"/>
          <w:color w:val="000000"/>
          <w:sz w:val="22"/>
        </w:rPr>
        <w:t xml:space="preserve">约定执行。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15.4其他违约责任根据项目实际需要按</w:t>
      </w:r>
      <w:r>
        <w:rPr>
          <w:rFonts w:ascii="宋体" w:hAnsi="宋体" w:cs="宋体"/>
          <w:b/>
          <w:color w:val="000000"/>
          <w:sz w:val="22"/>
        </w:rPr>
        <w:t xml:space="preserve">【政府采购合同专用条款】</w:t>
      </w:r>
      <w:r>
        <w:rPr>
          <w:rFonts w:ascii="宋体" w:hAnsi="宋体" w:cs="宋体"/>
          <w:color w:val="000000"/>
          <w:sz w:val="22"/>
        </w:rPr>
        <w:t xml:space="preserve">规定执行。</w:t>
      </w:r>
      <w:r/>
    </w:p>
    <w:p>
      <w:pPr>
        <w:numPr>
          <w:ilvl w:val="0"/>
          <w:numId w:val="9"/>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合同变更、中止与终止</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16.1合同的变更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16.2合同的中止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（1）合同履行过程中因供应商就采购文件、采购过程或结果提起投诉的，甲方认为有必要的，可以中止合同的履行。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（4）甲方不得以行政区划调整、政府换届、机构或者职能调整以及相关责任人更替为由中止合同。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16.3合同的终止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（1）合同因有效期限届满而终止；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（2）乙方未按合同约定履行，构成根本性违约的，甲方有权终止合同，并追究乙方的违约责任。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16.4 涉及国家利益、社会公共利益的情形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17.合同分包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17.1 乙方不得将合同转包给其他供应商</w:t>
      </w:r>
      <w:r>
        <w:rPr>
          <w:rFonts w:ascii="宋体" w:hAnsi="宋体" w:cs="宋体"/>
          <w:color w:val="0000ff"/>
          <w:sz w:val="22"/>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18.不可抗力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18.1 不可抗力是指合同双方不能预见、不能避免且不能克服的客观情况。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18.2 任何一方对由于不可抗力造成的部分或全部不能履行合同不承担违约责任。但迟延履行后发生不可抗力的，不能免除责任。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19.解决争议的方法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19.2 选择仲裁的，应在</w:t>
      </w:r>
      <w:r>
        <w:rPr>
          <w:rFonts w:ascii="宋体" w:hAnsi="宋体" w:cs="宋体"/>
          <w:b/>
          <w:color w:val="000000"/>
          <w:sz w:val="22"/>
        </w:rPr>
        <w:t xml:space="preserve">【政府采购合同专用条款】</w:t>
      </w:r>
      <w:r>
        <w:rPr>
          <w:rFonts w:ascii="宋体" w:hAnsi="宋体" w:cs="宋体"/>
          <w:color w:val="000000"/>
          <w:sz w:val="22"/>
        </w:rPr>
        <w:t xml:space="preserve">中明确仲裁机构及仲裁地；通过诉讼方式解决的，可以在</w:t>
      </w:r>
      <w:r>
        <w:rPr>
          <w:rFonts w:ascii="宋体" w:hAnsi="宋体" w:cs="宋体"/>
          <w:b/>
          <w:color w:val="000000"/>
          <w:sz w:val="22"/>
        </w:rPr>
        <w:t xml:space="preserve">【政府采购合同专用条款】</w:t>
      </w:r>
      <w:r>
        <w:rPr>
          <w:rFonts w:ascii="宋体" w:hAnsi="宋体" w:cs="宋体"/>
          <w:color w:val="000000"/>
          <w:sz w:val="22"/>
        </w:rPr>
        <w:t xml:space="preserve">中进一步约定选择与争议有实际联系的地点的人民法院管辖，但管辖法院的约定不得违反级别管辖和专属管辖的规定。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20.政府采购政策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20.1 本合同应当按照规定执行政府采购政策。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21.法律适用</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21.1 本合同的订立、生效、解释、履行及与本合同有关的争议解决，均适用法律、行政法规。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21.2 本合同条款与法律、行政法规的强制性规定不一致的，双方当事人应按照法律、行政法规的强制性规定修改本合同的相关条款。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22.通知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22.1本合同任何一方向对方发出的通知、信件、数据电文等，应当发送至本合同第一部分《政府采购合同协议书》所约定的通讯地址、联系人、联系电话或电子邮箱。</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22.2一方当事人变更名称、住所、联系人、联系电话或电子邮箱等信息的，应当在变更后3日内及时书面通知对方，对方实际收到变更通知前的送达仍为有效送达。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22.3本合同一方给另一方的通知均应采用书面形式，传真或快递送到本合同中规定的对方的地址和办理签收手续。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22.4通知以送达之日或通知书中规定的生效之日起生效，两者中以较迟之日为准。</w:t>
      </w:r>
      <w:r/>
    </w:p>
    <w:p>
      <w:pPr>
        <w:numPr>
          <w:ilvl w:val="0"/>
          <w:numId w:val="10"/>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合同未尽事项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23.1合同未尽事项见</w:t>
      </w:r>
      <w:r>
        <w:rPr>
          <w:rFonts w:ascii="宋体" w:hAnsi="宋体" w:cs="宋体"/>
          <w:b/>
          <w:color w:val="000000"/>
          <w:sz w:val="22"/>
        </w:rPr>
        <w:t xml:space="preserve">【政府采购合同专用条款】</w:t>
      </w:r>
      <w:r>
        <w:rPr>
          <w:rFonts w:ascii="宋体" w:hAnsi="宋体" w:cs="宋体"/>
          <w:color w:val="000000"/>
          <w:sz w:val="22"/>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23.2 合同附件与合同正文具有同等的法律效力。</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第三节 政府采购合同专用条款</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685"/>
        <w:gridCol w:w="3958"/>
      </w:tblGrid>
      <w:tr>
        <w:trP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该套设备免费开放数字化接口，由乙方配合与医院信息系统相连接并承担相应费用。</w:t>
            </w:r>
            <w:r/>
          </w:p>
          <w:p>
            <w:pPr>
              <w:ind w:firstLine="420"/>
              <w:spacing w:line="25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在设备到达医院指定地点后，乙方应在</w:t>
            </w:r>
            <w:r>
              <w:rPr>
                <w:rFonts w:hint="eastAsia" w:ascii="宋体" w:hAnsi="宋体" w:cs="宋体"/>
                <w:color w:val="000000"/>
                <w:sz w:val="22"/>
                <w:u w:val="single"/>
              </w:rPr>
              <w:t xml:space="preserve">7</w:t>
            </w:r>
            <w:r>
              <w:rPr>
                <w:rFonts w:hint="eastAsia" w:ascii="宋体" w:hAnsi="宋体" w:cs="宋体"/>
                <w:color w:val="000000"/>
                <w:sz w:val="22"/>
              </w:rPr>
              <w:t xml:space="preserve">天内派原厂技术人员到达现场，提供安装、调试等服务，并协助医院组织验收。如乙方原因造成的安装、调试时间延迟，乙方需按合同总价万分之五/日累计计算向甲方支付违约金。</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包装特殊要求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624"/>
        </w:trPr>
        <w:tc>
          <w:tcPr>
            <w:tcBorders>
              <w:top w:val="single" w:color="000000" w:sz="8" w:space="0"/>
              <w:left w:val="single" w:color="000000" w:sz="12" w:space="0"/>
              <w:bottom w:val="single" w:color="000000" w:sz="8" w:space="0"/>
              <w:right w:val="single" w:color="000000" w:sz="8" w:space="0"/>
            </w:tcBorders>
            <w:tcW w:w="1526" w:type="dxa"/>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乙方负责送货上门至甲方指定地点。</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由乙方购买。</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设备安装、调试结束正常运行一个月后，由双方验收完毕后正式起保。设备整机验收合格后免费原厂保修</w:t>
            </w:r>
            <w:r>
              <w:rPr>
                <w:rFonts w:ascii="宋体" w:hAnsi="宋体" w:cs="宋体"/>
                <w:color w:val="000000"/>
                <w:sz w:val="22"/>
                <w:u w:val="single"/>
              </w:rPr>
              <w:t xml:space="preserve">   年</w:t>
            </w:r>
            <w:r>
              <w:rPr>
                <w:rFonts w:ascii="宋体" w:hAnsi="宋体" w:cs="宋体"/>
                <w:color w:val="000000"/>
                <w:sz w:val="22"/>
              </w:rPr>
              <w:t xml:space="preserve">，免除包括更换配件、人工费、搬运费、安装调试费及系统软件升级等一切费用。</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货物质量缺陷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在保修期内，如仪器（设备）的质量或规格与合同或招投标文件不符，或证实仪器（设备）是有缺陷的，包括潜在的缺陷或使用不符合要求的材料等，乙方应在接到甲方通知后</w:t>
            </w:r>
            <w:r>
              <w:rPr>
                <w:rFonts w:ascii="宋体" w:hAnsi="宋体" w:cs="宋体"/>
                <w:color w:val="000000"/>
                <w:sz w:val="22"/>
                <w:u w:val="single"/>
              </w:rPr>
              <w:t xml:space="preserve"> 7 </w:t>
            </w:r>
            <w:r>
              <w:rPr>
                <w:rFonts w:ascii="宋体" w:hAnsi="宋体" w:cs="宋体"/>
                <w:color w:val="000000"/>
                <w:sz w:val="22"/>
              </w:rPr>
              <w:t xml:space="preserve">天内负责采用符合合同规定的规格、质量和性能要求的新零件或设备来更换有缺陷的部分或修补缺陷部分，费用由乙方负担。同时相应延长修补或更换件的质量保证期。</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69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合同价款支付时间</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合同生效后预付合同总价的30%；设备安装调试验收合格，正常使用三个月后未出现任何质量问题和合同约定等问题，且收到供方开具的全额发票后再支付合同总价的60%；设备正常使用无质量和合同约定等问题一年后支付合同总价的10%。</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本项目无履约保证金。</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履约保证金退还时间及逾期退还的违约金</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本项目无履约保证金。</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在保修期内，设备发生故障，乙方应保证维修服务小时响应，小时内维修人员到达现场。如24小时内未处理完毕，需提供相同档次设备予甲方临时使用或采取应急措施解决。在免费保修期内，所有的维修器件及维修人工费等一切费用都由乙方承担。</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第14.1（</w:t>
            </w:r>
            <w:r>
              <w:rPr>
                <w:rFonts w:hint="eastAsia" w:ascii="宋体" w:hAnsi="宋体" w:cs="宋体"/>
                <w:color w:val="000000"/>
                <w:sz w:val="22"/>
              </w:rPr>
              <w:t xml:space="preserve">5</w:t>
            </w:r>
            <w:r>
              <w:rPr>
                <w:rFonts w:ascii="宋体" w:hAnsi="宋体" w:cs="宋体"/>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① 质保期内，若乙方未能按照合同约定的要求及标准履行免费原厂质保义务，甲方有权要求乙方双倍返还甲方已支付的合同货款。</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② 保修期内正常运行率保证在</w:t>
            </w:r>
            <w:r>
              <w:rPr>
                <w:rFonts w:ascii="宋体" w:hAnsi="宋体" w:cs="宋体"/>
                <w:color w:val="000000"/>
                <w:sz w:val="22"/>
                <w:u w:val="single"/>
              </w:rPr>
              <w:t xml:space="preserve"> 95%</w:t>
            </w:r>
            <w:r>
              <w:rPr>
                <w:rFonts w:ascii="宋体" w:hAnsi="宋体" w:cs="宋体"/>
                <w:color w:val="000000"/>
                <w:sz w:val="22"/>
              </w:rPr>
              <w:t xml:space="preserve">。每年因故障停机不超过15个工作日，一年以275个工作日计算，超过一天，顺延</w:t>
            </w:r>
            <w:r>
              <w:rPr>
                <w:rFonts w:ascii="宋体" w:hAnsi="宋体" w:cs="宋体"/>
                <w:color w:val="000000"/>
                <w:sz w:val="22"/>
                <w:u w:val="single"/>
              </w:rPr>
              <w:t xml:space="preserve">  1  </w:t>
            </w:r>
            <w:r>
              <w:rPr>
                <w:rFonts w:ascii="宋体" w:hAnsi="宋体" w:cs="宋体"/>
                <w:color w:val="000000"/>
                <w:sz w:val="22"/>
              </w:rPr>
              <w:t xml:space="preserve">天，并做合同总价的 </w:t>
            </w:r>
            <w:r>
              <w:rPr>
                <w:rFonts w:ascii="宋体" w:hAnsi="宋体" w:cs="宋体"/>
                <w:color w:val="000000"/>
                <w:sz w:val="22"/>
                <w:u w:val="single"/>
              </w:rPr>
              <w:t xml:space="preserve"> 0.01  %</w:t>
            </w:r>
            <w:r>
              <w:rPr>
                <w:rFonts w:ascii="宋体" w:hAnsi="宋体" w:cs="宋体"/>
                <w:color w:val="000000"/>
                <w:sz w:val="22"/>
              </w:rPr>
              <w:t xml:space="preserve">/天赔偿。</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③ 设备发生故障维修及保养事件，必须到设备部门备案登记。维护保养的次数与内容、更换维修备件的数目及发生的所有费用以年末甲、乙双方共同核对为准，相关文件交甲方存档。</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④ 保修期满后，乙方负责仪器（设备）的终身维修并应继续提供优惠、优质的服务，报修响应时间</w:t>
            </w:r>
            <w:r>
              <w:rPr>
                <w:rFonts w:ascii="宋体" w:hAnsi="宋体" w:cs="宋体"/>
                <w:color w:val="000000"/>
                <w:sz w:val="22"/>
                <w:u w:val="single"/>
              </w:rPr>
              <w:t xml:space="preserve"> 4</w:t>
            </w:r>
            <w:r>
              <w:rPr>
                <w:rFonts w:ascii="宋体" w:hAnsi="宋体" w:cs="宋体"/>
                <w:color w:val="000000"/>
                <w:sz w:val="22"/>
              </w:rPr>
              <w:t xml:space="preserve">小时，到场时间</w:t>
            </w:r>
            <w:r>
              <w:rPr>
                <w:rFonts w:ascii="宋体" w:hAnsi="宋体" w:cs="宋体"/>
                <w:color w:val="000000"/>
                <w:sz w:val="22"/>
                <w:u w:val="single"/>
              </w:rPr>
              <w:t xml:space="preserve"> 24 </w:t>
            </w:r>
            <w:r>
              <w:rPr>
                <w:rFonts w:ascii="宋体" w:hAnsi="宋体" w:cs="宋体"/>
                <w:color w:val="000000"/>
                <w:sz w:val="22"/>
              </w:rPr>
              <w:t xml:space="preserve">小时，并储备足够的维修零配件备用。</w:t>
            </w:r>
            <w:r>
              <w:rPr>
                <w:rFonts w:hint="eastAsia" w:ascii="宋体" w:hAnsi="宋体" w:cs="宋体"/>
                <w:color w:val="000000"/>
                <w:sz w:val="22"/>
              </w:rPr>
              <w:t xml:space="preserve">免费质保期后，设备终身维修，维修只收配件费。</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⑤ 保修期满后，在设备使用年限内，供方应保证配件、耗材的供应。</w:t>
            </w:r>
            <w:r>
              <w:rPr>
                <w:rFonts w:hint="eastAsia" w:ascii="宋体"/>
                <w:sz w:val="22"/>
              </w:rPr>
              <w:t xml:space="preserve">若因设备升级等原因导致原有配件、耗材不能使用，或原有配件、耗材不再生产，供方应提供设备硬件或软件的升级，确保设备正常使用。</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第15.1款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修理、重作、更换相关具体规定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及时修理、更换、退款退货或者解除合同返还货款等，并有权要求乙方承担由此造成的损失。</w:t>
            </w:r>
            <w:r/>
          </w:p>
        </w:tc>
      </w:tr>
      <w:tr>
        <w:trP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000000"/>
                <w:sz w:val="22"/>
                <w:u w:val="single"/>
              </w:rPr>
              <w:t xml:space="preserve">  15  </w:t>
            </w:r>
            <w:r>
              <w:rPr>
                <w:rFonts w:ascii="宋体" w:hAnsi="宋体" w:cs="宋体"/>
                <w:color w:val="000000"/>
                <w:sz w:val="22"/>
              </w:rPr>
              <w:t xml:space="preserve">天，则甲方有权解除本合同并同时要求乙方承担相应损失。</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逾期付款不支付利息。</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无</w:t>
            </w:r>
            <w:r/>
          </w:p>
        </w:tc>
      </w:tr>
      <w:tr>
        <w:trP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因本合同及合同有关事项发生的争议，按下列第</w:t>
            </w:r>
            <w:r>
              <w:rPr>
                <w:rFonts w:ascii="宋体" w:hAnsi="宋体" w:cs="宋体"/>
                <w:color w:val="000000"/>
                <w:sz w:val="22"/>
                <w:u w:val="single"/>
              </w:rPr>
              <w:t xml:space="preserve">（2） </w:t>
            </w:r>
            <w:r>
              <w:rPr>
                <w:rFonts w:ascii="宋体" w:hAnsi="宋体" w:cs="宋体"/>
                <w:color w:val="000000"/>
                <w:sz w:val="22"/>
              </w:rPr>
              <w:t xml:space="preserve">种方式解决：</w:t>
            </w:r>
            <w:r/>
          </w:p>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（1）向</w:t>
            </w:r>
            <w:r>
              <w:rPr>
                <w:rFonts w:ascii="宋体" w:hAnsi="宋体" w:cs="宋体"/>
                <w:color w:val="000000"/>
                <w:sz w:val="22"/>
                <w:u w:val="single"/>
              </w:rPr>
              <w:t xml:space="preserve">/</w:t>
            </w:r>
            <w:r>
              <w:rPr>
                <w:rFonts w:ascii="宋体" w:hAnsi="宋体" w:cs="宋体"/>
                <w:color w:val="000000"/>
                <w:sz w:val="22"/>
              </w:rPr>
              <w:t xml:space="preserve">仲裁委员会申请仲裁，仲裁地点为</w:t>
            </w:r>
            <w:r>
              <w:rPr>
                <w:rFonts w:ascii="宋体" w:hAnsi="宋体" w:cs="宋体"/>
                <w:color w:val="000000"/>
                <w:sz w:val="22"/>
                <w:u w:val="single"/>
              </w:rPr>
              <w:t xml:space="preserve">/</w:t>
            </w:r>
            <w:r>
              <w:rPr>
                <w:rFonts w:ascii="宋体" w:hAnsi="宋体" w:cs="宋体"/>
                <w:color w:val="000000"/>
                <w:sz w:val="22"/>
              </w:rPr>
              <w:t xml:space="preserve">；</w:t>
            </w:r>
            <w:r/>
          </w:p>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（2）向</w:t>
            </w:r>
            <w:r>
              <w:rPr>
                <w:rFonts w:ascii="宋体" w:hAnsi="宋体" w:cs="宋体"/>
                <w:color w:val="000000"/>
                <w:sz w:val="22"/>
                <w:u w:val="single"/>
              </w:rPr>
              <w:t xml:space="preserve">甲方所在地</w:t>
            </w:r>
            <w:r>
              <w:rPr>
                <w:rFonts w:ascii="宋体" w:hAnsi="宋体" w:cs="宋体"/>
                <w:color w:val="000000"/>
                <w:sz w:val="22"/>
              </w:rPr>
              <w:t xml:space="preserve">人民法院起诉。</w:t>
            </w:r>
            <w:r/>
          </w:p>
        </w:tc>
      </w:tr>
      <w:tr>
        <w:trP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第23.1款</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其他专用条款</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双方应本着友好合作精神协商解决，协商结果以书面形式签订补充协议。</w:t>
            </w:r>
            <w:r/>
          </w:p>
        </w:tc>
      </w:tr>
    </w:tbl>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color w:val="000000" w:themeColor="text1"/>
          <w:sz w:val="24"/>
          <w:szCs w:val="24"/>
          <w:highlight w:val="none"/>
          <w:lang w:val="en-US" w:eastAsia="zh-CN"/>
          <w14:textFill>
            <w14:solidFill>
              <w14:schemeClr w14:val="tx1"/>
            </w14:solidFill>
          </w14:textFill>
        </w:rPr>
        <w:t xml:space="preserve">眩晕诊疗系统</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。并如实地在《投标偏离表》中按招标文件“采购需求”中“配置</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要求</w:t>
      </w:r>
      <w:r>
        <w:rPr>
          <w:rFonts w:hint="eastAsia" w:ascii="宋体" w:hAnsi="宋体"/>
          <w:color w:val="000000" w:themeColor="text1"/>
          <w:sz w:val="24"/>
          <w:szCs w:val="24"/>
          <w:highlight w:val="none"/>
          <w:u w:val="single"/>
          <w14:textFill>
            <w14:solidFill>
              <w14:schemeClr w14:val="tx1"/>
            </w14:solidFill>
          </w14:textFill>
        </w:rPr>
        <w:t xml:space="preserve">”“技术</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要求</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其他要求</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等</w:t>
      </w:r>
      <w:r>
        <w:rPr>
          <w:rFonts w:hint="eastAsia" w:ascii="宋体" w:hAnsi="宋体"/>
          <w:color w:val="000000" w:themeColor="text1"/>
          <w:sz w:val="24"/>
          <w:szCs w:val="24"/>
          <w:highlight w:val="none"/>
          <w:u w:val="single"/>
          <w14:textFill>
            <w14:solidFill>
              <w14:schemeClr w14:val="tx1"/>
            </w14:solidFill>
          </w14:textFill>
        </w:rPr>
        <w:t xml:space="preserve">内容逐条标明满足与否，并对其真实性负责。技术条款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（须体现所投产品品牌型号）等），</w:t>
      </w:r>
      <w:r>
        <w:rPr>
          <w:rFonts w:hint="eastAsia" w:ascii="宋体" w:hAnsi="宋体"/>
          <w:color w:val="000000" w:themeColor="text1"/>
          <w:sz w:val="24"/>
          <w:szCs w:val="24"/>
          <w:highlight w:val="none"/>
          <w:u w:val="single"/>
          <w14:textFill>
            <w14:solidFill>
              <w14:schemeClr w14:val="tx1"/>
            </w14:solidFill>
          </w14:textFill>
        </w:rPr>
        <w:t xml:space="preserve">未提供技术支持资料或提供的技术支持资料不能佐证偏离表内容的，评审时不予认可。</w:t>
      </w:r>
      <w:r/>
    </w:p>
    <w:p>
      <w:pPr>
        <w:rPr>
          <w:rFonts w:ascii="宋体" w:hAnsi="宋体" w:cs="宋体"/>
          <w:b/>
          <w:bCs/>
          <w:color w:val="000000"/>
          <w:sz w:val="24"/>
          <w:szCs w:val="24"/>
        </w:rPr>
      </w:pPr>
      <w:r>
        <w:rPr>
          <w:rFonts w:hint="eastAsia" w:ascii="宋体" w:hAnsi="宋体" w:cs="宋体"/>
          <w:b/>
          <w:bCs/>
          <w:color w:val="000000"/>
          <w:sz w:val="24"/>
          <w:szCs w:val="24"/>
        </w:rPr>
        <w:t xml:space="preserve">★一、配置要求：</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4907"/>
        <w:gridCol w:w="1134"/>
        <w:gridCol w:w="1077"/>
      </w:tblGrid>
      <w:tr>
        <w:trPr>
          <w:jc w:val="center"/>
          <w:trHeight w:val="369"/>
        </w:trPr>
        <w:tc>
          <w:tcPr>
            <w:tcW w:w="907"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4907" w:type="dxa"/>
            <w:vAlign w:val="center"/>
            <w:textDirection w:val="lrTb"/>
            <w:noWrap w:val="false"/>
          </w:tcPr>
          <w:p>
            <w:pPr>
              <w:jc w:val="center"/>
              <w:rPr>
                <w:rFonts w:ascii="宋体" w:hAnsi="宋体" w:cs="宋体"/>
                <w:sz w:val="24"/>
              </w:rPr>
            </w:pPr>
            <w:r>
              <w:rPr>
                <w:rFonts w:hint="eastAsia" w:ascii="宋体" w:hAnsi="宋体" w:cs="宋体"/>
                <w:sz w:val="24"/>
              </w:rPr>
              <w:t xml:space="preserve">名称</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单位</w:t>
            </w:r>
            <w:r/>
          </w:p>
        </w:tc>
        <w:tc>
          <w:tcPr>
            <w:tcW w:w="1077"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r>
      <w:tr>
        <w:trPr>
          <w:jc w:val="center"/>
          <w:trHeight w:val="369"/>
        </w:trPr>
        <w:tc>
          <w:tcPr>
            <w:tcW w:w="90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4907" w:type="dxa"/>
            <w:vAlign w:val="center"/>
            <w:textDirection w:val="lrTb"/>
            <w:noWrap w:val="false"/>
          </w:tcPr>
          <w:p>
            <w:pPr>
              <w:rPr>
                <w:rFonts w:ascii="宋体" w:hAnsi="宋体" w:cs="宋体"/>
                <w:sz w:val="24"/>
              </w:rPr>
            </w:pPr>
            <w:r>
              <w:rPr>
                <w:rFonts w:hint="eastAsia" w:ascii="宋体" w:hAnsi="宋体" w:cs="宋体"/>
                <w:sz w:val="24"/>
              </w:rPr>
              <w:t xml:space="preserve">眩晕诊断系统主机</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套</w:t>
            </w:r>
            <w:r/>
          </w:p>
        </w:tc>
        <w:tc>
          <w:tcPr>
            <w:tcW w:w="107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jc w:val="center"/>
          <w:trHeight w:val="369"/>
        </w:trPr>
        <w:tc>
          <w:tcPr>
            <w:tcW w:w="90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4907" w:type="dxa"/>
            <w:vAlign w:val="center"/>
            <w:textDirection w:val="lrTb"/>
            <w:noWrap w:val="false"/>
          </w:tcPr>
          <w:p>
            <w:pPr>
              <w:rPr>
                <w:rFonts w:ascii="宋体" w:hAnsi="宋体" w:cs="宋体"/>
                <w:sz w:val="24"/>
                <w:szCs w:val="24"/>
              </w:rPr>
            </w:pPr>
            <w:r>
              <w:rPr>
                <w:rFonts w:hint="eastAsia" w:ascii="宋体" w:hAnsi="宋体" w:cs="宋体"/>
                <w:sz w:val="24"/>
              </w:rPr>
              <w:t xml:space="preserve">眩晕诊断系统配套软件</w:t>
            </w:r>
            <w:r/>
          </w:p>
        </w:tc>
        <w:tc>
          <w:tcPr>
            <w:tcW w:w="113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套</w:t>
            </w:r>
            <w:r/>
          </w:p>
        </w:tc>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1</w:t>
            </w:r>
            <w:r/>
          </w:p>
        </w:tc>
      </w:tr>
      <w:tr>
        <w:trPr>
          <w:jc w:val="center"/>
          <w:trHeight w:val="369"/>
        </w:trPr>
        <w:tc>
          <w:tcPr>
            <w:tcW w:w="90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4907" w:type="dxa"/>
            <w:vAlign w:val="center"/>
            <w:textDirection w:val="lrTb"/>
            <w:noWrap w:val="false"/>
          </w:tcPr>
          <w:p>
            <w:pPr>
              <w:rPr>
                <w:rFonts w:ascii="宋体" w:hAnsi="宋体" w:cs="宋体"/>
                <w:sz w:val="24"/>
                <w:szCs w:val="24"/>
              </w:rPr>
            </w:pPr>
            <w:r>
              <w:rPr>
                <w:rFonts w:hint="eastAsia" w:ascii="宋体" w:hAnsi="宋体" w:cs="宋体"/>
                <w:sz w:val="24"/>
              </w:rPr>
              <w:t xml:space="preserve">高清显示屏</w:t>
            </w:r>
            <w:r/>
          </w:p>
        </w:tc>
        <w:tc>
          <w:tcPr>
            <w:tcW w:w="113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台</w:t>
            </w:r>
            <w:r/>
          </w:p>
        </w:tc>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1</w:t>
            </w:r>
            <w:r/>
          </w:p>
        </w:tc>
      </w:tr>
      <w:tr>
        <w:trPr>
          <w:jc w:val="center"/>
          <w:trHeight w:val="369"/>
        </w:trPr>
        <w:tc>
          <w:tcPr>
            <w:tcW w:w="90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W w:w="4907" w:type="dxa"/>
            <w:vAlign w:val="center"/>
            <w:textDirection w:val="lrTb"/>
            <w:noWrap w:val="false"/>
          </w:tcPr>
          <w:p>
            <w:pPr>
              <w:rPr>
                <w:rFonts w:ascii="宋体" w:hAnsi="宋体" w:cs="宋体"/>
                <w:sz w:val="24"/>
                <w:szCs w:val="24"/>
              </w:rPr>
            </w:pPr>
            <w:r>
              <w:rPr>
                <w:rFonts w:hint="eastAsia" w:ascii="宋体" w:hAnsi="宋体" w:cs="宋体"/>
                <w:sz w:val="24"/>
              </w:rPr>
              <w:t xml:space="preserve">眼震图模块</w:t>
            </w:r>
            <w:r/>
          </w:p>
        </w:tc>
        <w:tc>
          <w:tcPr>
            <w:tcW w:w="113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个</w:t>
            </w:r>
            <w:r/>
          </w:p>
        </w:tc>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1</w:t>
            </w:r>
            <w:r/>
          </w:p>
        </w:tc>
      </w:tr>
      <w:tr>
        <w:trPr>
          <w:jc w:val="center"/>
          <w:trHeight w:val="369"/>
        </w:trPr>
        <w:tc>
          <w:tcPr>
            <w:tcW w:w="90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W w:w="4907" w:type="dxa"/>
            <w:vAlign w:val="center"/>
            <w:textDirection w:val="lrTb"/>
            <w:noWrap w:val="false"/>
          </w:tcPr>
          <w:p>
            <w:pPr>
              <w:rPr>
                <w:rFonts w:ascii="宋体" w:hAnsi="宋体" w:cs="宋体"/>
                <w:sz w:val="24"/>
                <w:szCs w:val="24"/>
              </w:rPr>
            </w:pPr>
            <w:r>
              <w:rPr>
                <w:rFonts w:hint="eastAsia" w:ascii="宋体" w:hAnsi="宋体" w:cs="宋体"/>
                <w:sz w:val="24"/>
              </w:rPr>
              <w:t xml:space="preserve">前庭康复训练模块</w:t>
            </w:r>
            <w:r/>
          </w:p>
        </w:tc>
        <w:tc>
          <w:tcPr>
            <w:tcW w:w="113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个</w:t>
            </w:r>
            <w:r/>
          </w:p>
        </w:tc>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1</w:t>
            </w:r>
            <w:r/>
          </w:p>
        </w:tc>
      </w:tr>
    </w:tbl>
    <w:p>
      <w:pPr>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hint="eastAsia" w:ascii="宋体" w:hAnsi="宋体" w:cs="宋体"/>
          <w:b/>
          <w:bCs/>
          <w:sz w:val="24"/>
          <w:szCs w:val="24"/>
        </w:rPr>
        <w:t xml:space="preserve">★二、技术要求：</w:t>
      </w:r>
      <w:r/>
    </w:p>
    <w:tbl>
      <w:tblPr>
        <w:tblStyle w:val="705"/>
        <w:tblW w:w="0" w:type="auto"/>
        <w:jc w:val="center"/>
        <w:tblLayout w:type="fixed"/>
        <w:tblCellMar>
          <w:left w:w="108" w:type="dxa"/>
          <w:top w:w="0" w:type="dxa"/>
          <w:right w:w="108" w:type="dxa"/>
          <w:bottom w:w="0" w:type="dxa"/>
        </w:tblCellMar>
        <w:tblLook w:val="04A0" w:firstRow="1" w:lastRow="0" w:firstColumn="1" w:lastColumn="0" w:noHBand="0" w:noVBand="1"/>
      </w:tblPr>
      <w:tblGrid>
        <w:gridCol w:w="902"/>
        <w:gridCol w:w="7117"/>
      </w:tblGrid>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基础参数：</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设备具备BPPV的自动诊断与复位治疗功能</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ascii="宋体" w:hAnsi="宋体" w:cs="宋体"/>
                <w:color w:val="000000"/>
                <w:sz w:val="24"/>
              </w:rPr>
              <w:t xml:space="preserve">视频眼罩可以观察左、右眼的眼震视频图像</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ascii="宋体" w:hAnsi="宋体" w:cs="宋体"/>
                <w:color w:val="000000"/>
                <w:sz w:val="24"/>
              </w:rPr>
              <w:t xml:space="preserve">眼罩采集图像最大分辨率</w:t>
            </w:r>
            <w:r>
              <w:rPr>
                <w:rFonts w:hint="eastAsia" w:ascii="宋体" w:hAnsi="宋体" w:cs="宋体"/>
                <w:color w:val="000000"/>
                <w:sz w:val="24"/>
              </w:rPr>
              <w:t xml:space="preserve">≥</w:t>
            </w:r>
            <w:r>
              <w:rPr>
                <w:rFonts w:ascii="宋体" w:hAnsi="宋体" w:cs="宋体"/>
                <w:color w:val="000000"/>
                <w:sz w:val="24"/>
              </w:rPr>
              <w:t xml:space="preserve">1080P</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视频眼罩有自动追踪瞳孔位置的功能</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ascii="宋体" w:hAnsi="宋体" w:cs="宋体"/>
                <w:color w:val="000000"/>
                <w:sz w:val="24"/>
              </w:rPr>
              <w:t xml:space="preserve">安全座椅配有安全带可以固定人体颈、肩、腹、大腿、小腿</w:t>
            </w:r>
            <w:r>
              <w:rPr>
                <w:rFonts w:hint="eastAsia" w:ascii="宋体" w:hAnsi="宋体" w:cs="宋体"/>
                <w:color w:val="000000"/>
                <w:sz w:val="24"/>
              </w:rPr>
              <w:t xml:space="preserve">等部位</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设备配备≥3个急停安全装置</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软件可编制自定义试验，可手动编程调节速度、角度及加速度</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设备最大载荷≥135KG</w:t>
            </w:r>
            <w:r/>
          </w:p>
        </w:tc>
      </w:tr>
    </w:tbl>
    <w:p>
      <w:pPr>
        <w:pStyle w:val="708"/>
        <w:ind w:left="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bookmarkStart w:id="189" w:name="_Hlk181177549"/>
      <w:r>
        <w:rPr>
          <w:rFonts w:hint="eastAsia" w:ascii="宋体" w:hAnsi="宋体" w:cs="宋体"/>
          <w:b/>
          <w:bCs/>
          <w:sz w:val="24"/>
          <w:szCs w:val="24"/>
        </w:rPr>
        <w:t xml:space="preserve">★</w:t>
      </w:r>
      <w:bookmarkEnd w:id="189"/>
      <w:r>
        <w:rPr>
          <w:rFonts w:hint="eastAsia" w:ascii="宋体" w:hAnsi="宋体" w:cs="宋体"/>
          <w:b/>
          <w:bCs/>
          <w:sz w:val="24"/>
          <w:szCs w:val="24"/>
        </w:rPr>
        <w:t xml:space="preserve">三、其他要求：</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1.维修保证：</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(1)原厂免费质保期≥3年。</w:t>
      </w:r>
      <w:r/>
    </w:p>
    <w:p>
      <w:pPr>
        <w:ind w:firstLine="72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在保质期内，故障发生后，要求供方在接报后2小时之内响应，12小时之内到达现场排除故障；须提供故障不能排除时的解决方案；免费质保期后，设备终身维修，维修只收配件费（提供承诺书，格式可自拟，须加盖投标人公章）。</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2.交货时间：合同生效之日起90天内。</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 验收标准：</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方提供的商品必须符合我国最新颁布的与之相关的技术规范与标准，同时必须满足招标书中所列全部规格、型号、具体配置、技术条件及功能要求和供方承诺的其他指标；要求进口产品设备到货日期距其生产日期不超过180个日历日，国产产品设备到货日期距其生产日期不超过90个日历日（生产日期以铭牌或说明书中记载的日期为准）。</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5.交货条件：</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产品交货时，包装完整无破损，还必须提供以下材料：</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 装箱单 </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产品质检合格证明</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 若为进口产品，供方需要提供进口商品检验检疫证明和报关单</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 使用说明书及操作手册（电子版、纸质版同时提供）</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 单价10万元以上的设备需提供设备操作、保养的视频资料</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6.运输及到货地点：由供方负责办理运输及装卸，直接送至需方指定地点，所有费用由供方承担。 </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8.付款方式：</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合同生效后预付合同总价的30%；设备安装调试验收合格，正常使用三个月后未出现任何质量问题和合同约定等问题，且收到供方开具的全额发票后再支付合同总价的60%；设备正常使用无质量和合同约定等问题一年后支付合同总价的10%。</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cs="宋体"/>
          <w:sz w:val="24"/>
          <w:szCs w:val="24"/>
        </w:rPr>
        <w:t xml:space="preserve">如果中标人为中小企业，按《保障中小企业款项支付条例》（国令第 802号）相关要求执行。</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9.设备随机耗材要求：投标供应商应列明能确保设备正常使用的，所需耗材、易耗品及维修配件的清单及价格</w:t>
      </w:r>
      <w:r>
        <w:rPr>
          <w:rFonts w:hint="eastAsia" w:ascii="宋体" w:hAnsi="宋体" w:cs="宋体"/>
          <w:sz w:val="24"/>
          <w:szCs w:val="24"/>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10.具备数字化接口的设备应承诺免费开放该接口，由供应商配合与医院信息系统相连接并承担相应费用（提供承诺书，格式可自拟，须加盖投标人公章）。</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sz w:val="24"/>
          <w:szCs w:val="24"/>
        </w:rPr>
        <w:t xml:space="preserve">提供</w:t>
      </w:r>
      <w:r>
        <w:rPr>
          <w:rFonts w:hint="eastAsia" w:ascii="宋体" w:hAnsi="宋体"/>
          <w:bCs/>
          <w:color w:val="000000" w:themeColor="text1"/>
          <w:sz w:val="24"/>
          <w:szCs w:val="24"/>
          <w14:textFill>
            <w14:solidFill>
              <w14:schemeClr w14:val="tx1"/>
            </w14:solidFill>
          </w14:textFill>
        </w:rPr>
        <w:t xml:space="preserve">《关于所投设备的配件、耗材供应情况的承诺函》参考格式）。</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13.供应商承担设备与医院设备实时监控系统相连的相关费用，达到医院实时监控要求（提供承诺书，格式可自拟，须加盖投标人公章）。</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bookmarkStart w:id="190" w:name="_Toc120614281"/>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1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1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1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1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1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1011"/>
        <w:ind w:firstLine="281"/>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w:t>
      </w:r>
      <w:r/>
    </w:p>
    <w:p>
      <w:pPr>
        <w:pStyle w:val="1011"/>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1.价格（40分）</w:t>
      </w:r>
      <w:r/>
    </w:p>
    <w:p>
      <w:pPr>
        <w:ind w:firstLine="480"/>
        <w:jc w:val="left"/>
        <w:spacing w:line="360" w:lineRule="auto"/>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40分。其他投标人的价格分统一按照下列公式计算：投标报价得分=（评标基准价/投标报价）×40（保留两位小数）。</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关于价格扣除详见本章第二部分“一、落实政府采购政策的价格调整”。</w:t>
      </w:r>
      <w:r/>
    </w:p>
    <w:p>
      <w:pPr>
        <w:numPr>
          <w:ilvl w:val="0"/>
          <w:numId w:val="11"/>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w:t>
      </w:r>
      <w:r>
        <w:rPr>
          <w:rFonts w:hint="eastAsia" w:ascii="宋体" w:hAnsi="宋体"/>
          <w:b/>
          <w:bCs/>
          <w:color w:val="000000" w:themeColor="text1"/>
          <w:sz w:val="24"/>
          <w:szCs w:val="24"/>
          <w:highlight w:val="none"/>
          <w:lang w:val="en-US" w:eastAsia="zh-CN"/>
          <w14:textFill>
            <w14:solidFill>
              <w14:schemeClr w14:val="tx1"/>
            </w14:solidFill>
          </w14:textFill>
        </w:rPr>
        <w:t xml:space="preserve">36</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b/>
          <w:bCs/>
          <w:sz w:val="24"/>
          <w:szCs w:val="24"/>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6246"/>
        <w:gridCol w:w="923"/>
      </w:tblGrid>
      <w:tr>
        <w:trPr>
          <w:jc w:val="center"/>
          <w:trHeight w:val="497"/>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tcW w:w="6246"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评分参数</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分值</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color w:val="000000"/>
                <w:sz w:val="24"/>
              </w:rPr>
              <w:t xml:space="preserve">主轴最大转动速度≥180°/</w:t>
            </w:r>
            <w:r>
              <w:rPr>
                <w:rFonts w:hint="eastAsia" w:ascii="宋体" w:hAnsi="宋体" w:cs="宋体"/>
                <w:color w:val="000000"/>
                <w:sz w:val="24"/>
                <w:lang w:val="en-US" w:eastAsia="zh-CN"/>
              </w:rPr>
              <w:t xml:space="preserve">s</w:t>
            </w:r>
            <w:r>
              <w:rPr>
                <w:rFonts w:hint="eastAsia" w:ascii="宋体" w:hAnsi="宋体" w:cs="宋体"/>
                <w:color w:val="000000"/>
                <w:sz w:val="24"/>
              </w:rPr>
              <w:t xml:space="preserve">得2分，≥360°/</w:t>
            </w:r>
            <w:r>
              <w:rPr>
                <w:rFonts w:hint="eastAsia" w:ascii="宋体" w:hAnsi="宋体" w:cs="宋体"/>
                <w:color w:val="000000"/>
                <w:sz w:val="24"/>
                <w:lang w:val="en-US" w:eastAsia="zh-CN"/>
              </w:rPr>
              <w:t xml:space="preserve">s</w:t>
            </w:r>
            <w:r>
              <w:rPr>
                <w:rFonts w:hint="eastAsia" w:ascii="宋体" w:hAnsi="宋体" w:cs="宋体"/>
                <w:color w:val="000000"/>
                <w:sz w:val="24"/>
              </w:rPr>
              <w:t xml:space="preserve">得4分</w:t>
            </w:r>
            <w:r>
              <w:rPr>
                <w:rFonts w:hint="eastAsia" w:ascii="宋体" w:hAnsi="宋体" w:cs="宋体"/>
                <w:sz w:val="24"/>
              </w:rPr>
              <w:t xml:space="preserve">，不满足不得分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color w:val="000000"/>
                <w:sz w:val="24"/>
              </w:rPr>
              <w:t xml:space="preserve">辅轴最大转动速度≥180°/</w:t>
            </w:r>
            <w:r>
              <w:rPr>
                <w:rFonts w:hint="eastAsia" w:ascii="宋体" w:hAnsi="宋体" w:cs="宋体"/>
                <w:color w:val="000000"/>
                <w:sz w:val="24"/>
                <w:lang w:val="en-US" w:eastAsia="zh-CN"/>
              </w:rPr>
              <w:t xml:space="preserve">s</w:t>
            </w:r>
            <w:r>
              <w:rPr>
                <w:rFonts w:hint="eastAsia" w:ascii="宋体" w:hAnsi="宋体" w:cs="宋体"/>
                <w:color w:val="000000"/>
                <w:sz w:val="24"/>
              </w:rPr>
              <w:t xml:space="preserve">得2分，≥360°/</w:t>
            </w:r>
            <w:r>
              <w:rPr>
                <w:rFonts w:hint="eastAsia" w:ascii="宋体" w:hAnsi="宋体" w:cs="宋体"/>
                <w:color w:val="000000"/>
                <w:sz w:val="24"/>
                <w:lang w:val="en-US" w:eastAsia="zh-CN"/>
              </w:rPr>
              <w:t xml:space="preserve">s</w:t>
            </w:r>
            <w:r>
              <w:rPr>
                <w:rFonts w:hint="eastAsia" w:ascii="宋体" w:hAnsi="宋体" w:cs="宋体"/>
                <w:color w:val="000000"/>
                <w:sz w:val="24"/>
              </w:rPr>
              <w:t xml:space="preserve">得4分</w:t>
            </w:r>
            <w:r>
              <w:rPr>
                <w:rFonts w:hint="eastAsia" w:ascii="宋体" w:hAnsi="宋体" w:cs="宋体"/>
                <w:sz w:val="24"/>
              </w:rPr>
              <w:t xml:space="preserve">，不满足不得分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color w:val="000000"/>
                <w:sz w:val="24"/>
              </w:rPr>
              <w:t xml:space="preserve">设备运行噪音≤68dB得4分，≤75dB得2分，</w:t>
            </w:r>
            <w:r>
              <w:rPr>
                <w:rFonts w:hint="eastAsia" w:ascii="宋体" w:hAnsi="宋体" w:cs="宋体"/>
                <w:sz w:val="24"/>
              </w:rPr>
              <w:t xml:space="preserve">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color w:val="000000"/>
                <w:sz w:val="24"/>
              </w:rPr>
              <w:t xml:space="preserve">配套诊疗软件包含视频的存储、回放功能，满足一项得2分，满足二项得4分</w:t>
            </w:r>
            <w:r>
              <w:rPr>
                <w:rFonts w:hint="eastAsia" w:ascii="宋体" w:hAnsi="宋体" w:cs="宋体"/>
                <w:sz w:val="24"/>
              </w:rPr>
              <w:t xml:space="preserve">，不满足不得分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color w:val="000000"/>
                <w:sz w:val="24"/>
              </w:rPr>
              <w:t xml:space="preserve">配套诊疗软件预装诊断、治疗方案≥30个得2分，≥40个得4分</w:t>
            </w:r>
            <w:r>
              <w:rPr>
                <w:rFonts w:hint="eastAsia" w:ascii="宋体" w:hAnsi="宋体" w:cs="宋体"/>
                <w:sz w:val="24"/>
              </w:rPr>
              <w:t xml:space="preserve">，不满足不得分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sz w:val="24"/>
              </w:rPr>
              <w:t xml:space="preserve">支持扫视试验（水平+垂直）、平稳跟踪试验（水平+垂直）、视动试验（水平+垂直）、凝视试验（水平+垂直），满足一项得1分，最高得4分，不满足不得分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color w:val="000000"/>
                <w:sz w:val="24"/>
              </w:rPr>
              <w:t xml:space="preserve">眼震曲线的显示比例可以任意调整，眼震分析显示标度可调整。满足一项得2分，最高得4分，不满足不得分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color w:val="000000"/>
                <w:sz w:val="24"/>
              </w:rPr>
              <w:t xml:space="preserve">运动轨迹（速度）、体位、耳蜗位置3项参数同步显示2项得2分，同步显示3项得4分，不满足不得分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279"/>
        </w:trPr>
        <w:tc>
          <w:tcPr>
            <w:tcW w:w="80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w:t>
            </w:r>
            <w:r/>
          </w:p>
        </w:tc>
        <w:tc>
          <w:tcPr>
            <w:tcW w:w="6246" w:type="dxa"/>
            <w:vAlign w:val="center"/>
            <w:textDirection w:val="lrTb"/>
            <w:noWrap/>
          </w:tcPr>
          <w:p>
            <w:pPr>
              <w:widowControl/>
              <w:rPr>
                <w:rFonts w:ascii="宋体" w:hAnsi="宋体" w:cs="宋体"/>
                <w:color w:val="000000"/>
                <w:sz w:val="24"/>
              </w:rPr>
            </w:pPr>
            <w:r>
              <w:rPr>
                <w:rFonts w:hint="eastAsia" w:ascii="宋体" w:hAnsi="宋体" w:cs="宋体"/>
                <w:color w:val="000000"/>
                <w:sz w:val="24"/>
              </w:rPr>
              <w:t xml:space="preserve">眼震记录通道数≥4通道得2分，≥6通道得4分，不满足不得分</w:t>
            </w:r>
            <w:r/>
          </w:p>
        </w:tc>
        <w:tc>
          <w:tcPr>
            <w:tcW w:w="92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jc w:val="center"/>
          <w:trHeight w:val="492"/>
        </w:trPr>
        <w:tc>
          <w:tcPr>
            <w:tcW w:w="805" w:type="dxa"/>
            <w:vAlign w:val="center"/>
            <w:textDirection w:val="lrTb"/>
            <w:noWrap/>
          </w:tcPr>
          <w:p>
            <w:pPr>
              <w:jc w:val="center"/>
              <w:widowControl/>
              <w:rPr>
                <w:rFonts w:ascii="宋体" w:hAnsi="宋体" w:cs="宋体"/>
                <w:b/>
                <w:color w:val="000000"/>
                <w:sz w:val="24"/>
              </w:rPr>
            </w:pPr>
            <w:r>
              <w:rPr>
                <w:rFonts w:ascii="宋体" w:hAnsi="宋体" w:cs="宋体"/>
                <w:b/>
                <w:color w:val="000000"/>
                <w:sz w:val="24"/>
              </w:rPr>
            </w:r>
            <w:r/>
          </w:p>
        </w:tc>
        <w:tc>
          <w:tcPr>
            <w:tcW w:w="6246" w:type="dxa"/>
            <w:vAlign w:val="center"/>
            <w:textDirection w:val="lrTb"/>
            <w:noWrap/>
          </w:tcPr>
          <w:p>
            <w:pPr>
              <w:widowControl/>
              <w:rPr>
                <w:rFonts w:ascii="宋体" w:hAnsi="宋体" w:cs="宋体"/>
                <w:b/>
                <w:color w:val="000000"/>
                <w:sz w:val="24"/>
              </w:rPr>
            </w:pPr>
            <w:r>
              <w:rPr>
                <w:rFonts w:hint="eastAsia" w:ascii="宋体" w:hAnsi="宋体" w:cs="宋体"/>
                <w:b/>
                <w:color w:val="000000"/>
                <w:sz w:val="24"/>
              </w:rPr>
              <w:t xml:space="preserve">合计</w:t>
            </w:r>
            <w:r/>
          </w:p>
        </w:tc>
        <w:tc>
          <w:tcPr>
            <w:tcW w:w="923" w:type="dxa"/>
            <w:vAlign w:val="center"/>
            <w:textDirection w:val="lrTb"/>
            <w:noWrap/>
          </w:tcPr>
          <w:p>
            <w:pPr>
              <w:jc w:val="center"/>
              <w:widowControl/>
              <w:rPr>
                <w:rFonts w:ascii="宋体" w:hAnsi="宋体" w:cs="宋体"/>
                <w:b/>
                <w:color w:val="000000"/>
                <w:sz w:val="24"/>
              </w:rPr>
            </w:pPr>
            <w:r>
              <w:rPr>
                <w:rFonts w:hint="eastAsia" w:ascii="宋体" w:hAnsi="宋体" w:cs="宋体"/>
                <w:b/>
                <w:color w:val="000000"/>
                <w:sz w:val="24"/>
              </w:rPr>
              <w:t xml:space="preserve">36</w:t>
            </w:r>
            <w:r/>
          </w:p>
        </w:tc>
      </w:tr>
    </w:tbl>
    <w:p>
      <w:pPr>
        <w:ind w:firstLine="482"/>
        <w:spacing w:line="360" w:lineRule="auto"/>
        <w:tabs>
          <w:tab w:val="left" w:pos="1155" w:leader="none"/>
        </w:tabs>
        <w:rPr>
          <w:rFonts w:ascii="宋体" w:hAnsi="宋体" w:cs="宋体"/>
          <w:b/>
          <w:bCs/>
          <w:sz w:val="24"/>
          <w:szCs w:val="24"/>
        </w:rPr>
      </w:pPr>
      <w:r>
        <w:rPr>
          <w:rFonts w:hint="eastAsia" w:ascii="宋体" w:hAnsi="宋体" w:cs="宋体"/>
          <w:b/>
          <w:bCs/>
          <w:sz w:val="24"/>
          <w:szCs w:val="24"/>
        </w:rPr>
        <w:t xml:space="preserve">3.售后和服务能力（20分）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3.1质保期（5分）：以招标文件要求（3年）为基准，每多一年加1分，不超过5分，须提供制造厂商出具的《质量保证及售后服务承诺书》（给定格式）并加盖投标人公章。</w:t>
      </w:r>
      <w:r/>
    </w:p>
    <w:p>
      <w:pPr>
        <w:ind w:firstLine="482"/>
        <w:jc w:val="left"/>
        <w:spacing w:line="360" w:lineRule="auto"/>
        <w:rPr>
          <w:rFonts w:ascii="宋体" w:hAnsi="宋体" w:cs="宋体"/>
          <w:sz w:val="24"/>
          <w:szCs w:val="24"/>
        </w:rPr>
      </w:pPr>
      <w:r>
        <w:rPr>
          <w:rFonts w:hint="eastAsia" w:ascii="宋体" w:hAnsi="宋体" w:cs="宋体"/>
          <w:sz w:val="24"/>
          <w:szCs w:val="24"/>
        </w:rPr>
        <w:t xml:space="preserve">3.2备用机（2分）：若设备出现故障，24小时内无法解决的，承诺提供备用机得2分，不提供不得分，须提供承诺文件并加盖投标人公章。</w:t>
      </w:r>
      <w:r/>
    </w:p>
    <w:p>
      <w:pPr>
        <w:ind w:firstLine="482"/>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cs="宋体"/>
          <w:sz w:val="24"/>
          <w:szCs w:val="24"/>
        </w:rPr>
        <w:t xml:space="preserve">3.3</w:t>
      </w:r>
      <w:r>
        <w:rPr>
          <w:rFonts w:hint="eastAsia" w:ascii="宋体" w:hAnsi="宋体"/>
          <w:bCs/>
          <w:color w:val="000000" w:themeColor="text1"/>
          <w:sz w:val="24"/>
          <w:szCs w:val="24"/>
          <w14:textFill>
            <w14:solidFill>
              <w14:schemeClr w14:val="tx1"/>
            </w14:solidFill>
          </w14:textFill>
        </w:rPr>
        <w:t xml:space="preserve">服务方案体系（8分）：投标人保障采购项目能够达到招标文件设定的使用和运行状态而提供的配送、安装、调试、培训、响应时间、咨询（技术支持）、维修以及应急保障措施等一系列服务方案：</w:t>
      </w:r>
      <w:r/>
    </w:p>
    <w:p>
      <w:pPr>
        <w:ind w:firstLine="482"/>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①配送方案得1分。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②安装方案得1分。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③调试方案得1分。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④培训方案得1分。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⑤响应时间方案得1分。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⑥咨询（技术支持）方案得1分。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⑦维修方案得1分。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⑧应急保障措施方案得1分。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以上内容不存在瑕疵、漏项，有针对性解决说明得8分；存在1处瑕疵、漏项，或未提供、不满足项目招标文件需求的内容，扣1分。扣完为止，最低得0分。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cs="宋体"/>
          <w:sz w:val="24"/>
          <w:szCs w:val="24"/>
        </w:rPr>
        <w:t xml:space="preserve">3.4</w:t>
      </w:r>
      <w:r>
        <w:rPr>
          <w:rFonts w:hint="eastAsia" w:ascii="宋体" w:hAnsi="宋体"/>
          <w:bCs/>
          <w:color w:val="000000" w:themeColor="text1"/>
          <w:sz w:val="24"/>
          <w:szCs w:val="24"/>
          <w14:textFill>
            <w14:solidFill>
              <w14:schemeClr w14:val="tx1"/>
            </w14:solidFill>
          </w14:textFill>
        </w:rPr>
        <w:t xml:space="preserve">服务保障体系（5分） </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①保障服务方案的实施而设立服务机构得1分。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②配备相应服务人员得1分。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③配备相应设施装备得1分。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④设置服务细则和管理制度得1分。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⑤设定确保兑现服务承诺、保证服务质量的措施得1分。</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以上内容不存在瑕疵、漏项，有针对性解决说明得5分；存在1处瑕疵、漏项，或未提供、不满足项目招标文件需求的内容，扣1分。扣完为止，最低得0分。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jc w:val="left"/>
        <w:spacing w:line="360" w:lineRule="auto"/>
        <w:rPr>
          <w:rFonts w:ascii="宋体" w:hAnsi="宋体" w:cs="宋体"/>
          <w:b/>
          <w:bCs/>
          <w:sz w:val="24"/>
          <w:szCs w:val="24"/>
        </w:rPr>
      </w:pPr>
      <w:r>
        <w:rPr>
          <w:rFonts w:hint="eastAsia" w:ascii="宋体" w:hAnsi="宋体" w:cs="宋体"/>
          <w:b/>
          <w:bCs/>
          <w:sz w:val="24"/>
          <w:szCs w:val="24"/>
        </w:rPr>
        <w:t xml:space="preserve">4.业绩（2分）</w:t>
      </w:r>
      <w:r/>
    </w:p>
    <w:p>
      <w:pPr>
        <w:ind w:firstLine="480"/>
        <w:spacing w:line="360" w:lineRule="auto"/>
        <w:tabs>
          <w:tab w:val="left" w:pos="1155" w:leader="none"/>
        </w:tabs>
        <w:rPr>
          <w:rFonts w:ascii="宋体" w:hAnsi="宋体" w:cs="宋体"/>
          <w:sz w:val="24"/>
          <w:szCs w:val="24"/>
        </w:rPr>
      </w:pPr>
      <w:r>
        <w:rPr>
          <w:rFonts w:hint="eastAsia" w:ascii="宋体" w:hAnsi="宋体" w:cs="宋体"/>
          <w:sz w:val="24"/>
          <w:szCs w:val="24"/>
        </w:rPr>
        <w:t xml:space="preserve">销售业绩及客户评价比较，近二年主要业绩（2分）：提供投标人与终端用户签订的与本次招标采购项目同类产品的完整销售合同复印件，有一例得1分，最高不超过2分， 须加盖投标单位电子公章。</w:t>
      </w:r>
      <w:r>
        <w:rPr>
          <w:rFonts w:hint="eastAsia" w:ascii="宋体" w:hAnsi="宋体" w:cs="宋体"/>
          <w:color w:val="000000"/>
          <w:sz w:val="24"/>
          <w:szCs w:val="24"/>
        </w:rPr>
        <w:t xml:space="preserve">合同金额如在50万元以上（含50万元），还须提供中标（成交）或合同公示页面截图进行佐证。截图内容含公示网站名称或地址、公示日期、完整公示内容。</w:t>
      </w:r>
      <w:r/>
    </w:p>
    <w:p>
      <w:pPr>
        <w:ind w:firstLine="480"/>
        <w:jc w:val="left"/>
        <w:spacing w:line="360" w:lineRule="auto"/>
        <w:rPr>
          <w:rFonts w:ascii="宋体" w:hAnsi="宋体" w:cs="宋体"/>
          <w:sz w:val="24"/>
          <w:szCs w:val="24"/>
        </w:rPr>
      </w:pPr>
      <w:r>
        <w:rPr>
          <w:rFonts w:hint="eastAsia" w:ascii="宋体" w:hAnsi="宋体" w:cs="宋体"/>
          <w:b/>
          <w:bCs/>
          <w:sz w:val="24"/>
          <w:szCs w:val="24"/>
        </w:rPr>
        <w:t xml:space="preserve">5.政策性因素（2分）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5.1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710"/>
        <w:ind w:firstLine="0"/>
        <w:rPr>
          <w:highlight w:val="none"/>
        </w:rPr>
      </w:pPr>
      <w:r>
        <w:rPr>
          <w:highlight w:val="none"/>
        </w:rPr>
      </w:r>
      <w:r/>
    </w:p>
    <w:p>
      <w:pPr>
        <w:jc w:val="center"/>
        <w:spacing w:line="500" w:lineRule="exact"/>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  </w:t>
      </w:r>
      <w:bookmarkEnd w:id="187"/>
      <w:r/>
      <w:bookmarkEnd w:id="188"/>
      <w:r/>
      <w:bookmarkEnd w:id="190"/>
      <w:r>
        <w:rPr>
          <w:rFonts w:hint="eastAsia" w:ascii="黑体" w:eastAsia="黑体"/>
          <w:bCs/>
          <w:color w:val="000000" w:themeColor="text1"/>
          <w:sz w:val="36"/>
          <w:szCs w:val="36"/>
          <w:highlight w:val="none"/>
          <w14:textFill>
            <w14:solidFill>
              <w14:schemeClr w14:val="tx1"/>
            </w14:solidFill>
          </w14:textFill>
        </w:rPr>
        <w:t xml:space="preserve">投标文件内容与格式</w:t>
      </w:r>
      <w:bookmarkEnd w:id="185"/>
      <w:r/>
      <w:bookmarkEnd w:id="186"/>
      <w:r/>
      <w:bookmarkStart w:id="191" w:name="_Hlt26955039"/>
      <w:r/>
      <w:bookmarkEnd w:id="191"/>
      <w:r/>
      <w:bookmarkStart w:id="192" w:name="_Hlt26671244"/>
      <w:r/>
      <w:bookmarkEnd w:id="192"/>
      <w:r/>
      <w:r/>
    </w:p>
    <w:p>
      <w:pPr>
        <w:pStyle w:val="1011"/>
        <w:ind w:firstLine="602"/>
        <w:spacing w:before="0" w:after="0" w:line="500" w:lineRule="exact"/>
        <w:rPr>
          <w:rFonts w:cs="Arial"/>
          <w:b/>
          <w:color w:val="000000" w:themeColor="text1"/>
          <w:sz w:val="30"/>
          <w:szCs w:val="30"/>
          <w14:textFill>
            <w14:solidFill>
              <w14:schemeClr w14:val="tx1"/>
            </w14:solidFill>
          </w14:textFill>
        </w:rPr>
      </w:pPr>
      <w:r/>
      <w:bookmarkStart w:id="193" w:name="_Toc120614282"/>
      <w:r/>
      <w:bookmarkStart w:id="194" w:name="_Toc49090576"/>
      <w:r/>
      <w:bookmarkStart w:id="195" w:name="_Toc26554094"/>
      <w:r>
        <w:rPr>
          <w:rFonts w:hint="eastAsia" w:cs="Arial"/>
          <w:b/>
          <w:color w:val="000000" w:themeColor="text1"/>
          <w:sz w:val="30"/>
          <w:szCs w:val="30"/>
          <w14:textFill>
            <w14:solidFill>
              <w14:schemeClr w14:val="tx1"/>
            </w14:solidFill>
          </w14:textFill>
        </w:rPr>
        <w:t xml:space="preserve">第一部分  投标文件内容</w:t>
      </w:r>
      <w:r/>
    </w:p>
    <w:p>
      <w:pPr>
        <w:pStyle w:val="101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0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11"/>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tcPr>
          <w:p>
            <w:pPr>
              <w:pStyle w:val="1011"/>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tcPr>
          <w:p>
            <w:pPr>
              <w:pStyle w:val="1011"/>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tcPr>
          <w:p>
            <w:pPr>
              <w:pStyle w:val="1011"/>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tcPr>
          <w:p>
            <w:pPr>
              <w:pStyle w:val="1011"/>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11"/>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tcPr>
          <w:p>
            <w:pPr>
              <w:pStyle w:val="1011"/>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tcPr>
          <w:p>
            <w:pPr>
              <w:pStyle w:val="1011"/>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tcPr>
          <w:p>
            <w:pPr>
              <w:pStyle w:val="1011"/>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tcPr>
          <w:p>
            <w:pPr>
              <w:pStyle w:val="1011"/>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tcPr>
          <w:p>
            <w:pPr>
              <w:pStyle w:val="1011"/>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0"/>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tcPr>
          <w:p>
            <w:pPr>
              <w:pStyle w:val="1011"/>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tcPr>
          <w:p>
            <w:pPr>
              <w:pStyle w:val="1011"/>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tcPr>
          <w:p>
            <w:pPr>
              <w:pStyle w:val="1011"/>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11"/>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tcPr>
          <w:p>
            <w:pPr>
              <w:pStyle w:val="1011"/>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tcPr>
          <w:p>
            <w:pPr>
              <w:pStyle w:val="1011"/>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11"/>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tcPr>
          <w:p>
            <w:pPr>
              <w:pStyle w:val="1011"/>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tcPr>
          <w:p>
            <w:pPr>
              <w:pStyle w:val="1011"/>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tcPr>
          <w:p>
            <w:pPr>
              <w:pStyle w:val="1011"/>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tcPr>
          <w:p>
            <w:pPr>
              <w:pStyle w:val="1011"/>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tcPr>
          <w:p>
            <w:pP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tcPr>
          <w:p>
            <w:pPr>
              <w:pStyle w:val="1011"/>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tcPr>
          <w:p>
            <w:pPr>
              <w:pStyle w:val="1011"/>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tcPr>
          <w:p>
            <w:pPr>
              <w:pStyle w:val="1011"/>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tcPr>
          <w:p>
            <w:pPr>
              <w:pStyle w:val="1011"/>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tcPr>
          <w:p>
            <w:pPr>
              <w:pStyle w:val="1011"/>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tcPr>
          <w:p>
            <w:pPr>
              <w:pStyle w:val="1011"/>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tcPr>
          <w:p>
            <w:pPr>
              <w:pStyle w:val="1011"/>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12"/>
        </w:numPr>
        <w:ind w:firstLine="480"/>
        <w:spacing w:line="500" w:lineRule="exact"/>
        <w:tabs>
          <w:tab w:val="left" w:pos="312" w:leader="none"/>
        </w:tabs>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tabs>
          <w:tab w:val="left" w:pos="312"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tabs>
          <w:tab w:val="left" w:pos="312"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12"/>
        </w:numPr>
        <w:ind w:firstLine="480"/>
        <w:spacing w:line="500" w:lineRule="exact"/>
        <w:tabs>
          <w:tab w:val="left" w:pos="312"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1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tcPr>
          <w:p>
            <w:pPr>
              <w:pStyle w:val="101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tcPr>
          <w:p>
            <w:pPr>
              <w:pStyle w:val="101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tcPr>
          <w:p>
            <w:pPr>
              <w:pStyle w:val="1011"/>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tcPr>
          <w:p>
            <w:pPr>
              <w:pStyle w:val="1011"/>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tcPr>
          <w:p>
            <w:pPr>
              <w:pStyle w:val="101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tcPr>
          <w:p>
            <w:pPr>
              <w:pStyle w:val="1011"/>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tcPr>
          <w:p>
            <w:pPr>
              <w:pStyle w:val="1011"/>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tcPr>
          <w:p>
            <w:pPr>
              <w:pStyle w:val="101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tcPr>
          <w:p>
            <w:pPr>
              <w:pStyle w:val="1011"/>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tcPr>
          <w:p>
            <w:pPr>
              <w:pStyle w:val="1011"/>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tcPr>
          <w:p>
            <w:pPr>
              <w:pStyle w:val="101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tcPr>
          <w:p>
            <w:pPr>
              <w:pStyle w:val="1011"/>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tcPr>
          <w:p>
            <w:pPr>
              <w:pStyle w:val="1011"/>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tcPr>
          <w:p>
            <w:pPr>
              <w:pStyle w:val="101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tcPr>
          <w:p>
            <w:pPr>
              <w:pStyle w:val="1011"/>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tcPr>
          <w:p>
            <w:pPr>
              <w:pStyle w:val="1011"/>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tcPr>
          <w:p>
            <w:pPr>
              <w:pStyle w:val="101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tcPr>
          <w:p>
            <w:pPr>
              <w:pStyle w:val="1011"/>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tcPr>
          <w:p>
            <w:pPr>
              <w:pStyle w:val="1011"/>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《采购需求》中如有要求须提供的证明文件</w:t>
            </w:r>
            <w:r/>
          </w:p>
        </w:tc>
        <w:tc>
          <w:tcPr>
            <w:tcW w:w="1979" w:type="dxa"/>
            <w:vAlign w:val="center"/>
            <w:vMerge w:val="continue"/>
            <w:textDirection w:val="lrTb"/>
            <w:noWrap/>
          </w:tcPr>
          <w:p>
            <w:pPr>
              <w:pStyle w:val="101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tcPr>
          <w:p>
            <w:pPr>
              <w:pStyle w:val="1011"/>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tcPr>
          <w:p>
            <w:pPr>
              <w:pStyle w:val="1011"/>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tcPr>
          <w:p>
            <w:pPr>
              <w:pStyle w:val="101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tcPr>
          <w:p>
            <w:pPr>
              <w:pStyle w:val="1011"/>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tcPr>
          <w:p>
            <w:pPr>
              <w:pStyle w:val="1011"/>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tcPr>
          <w:p>
            <w:pPr>
              <w:pStyle w:val="101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13"/>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1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JSZC-320200-XWJC-G2025-0107</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无锡市中医医院眩晕诊疗系统项目（第二次）</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0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JSZC-320200-XWJC-G2025-0107</w:t>
      </w:r>
      <w:r>
        <w:rPr>
          <w:rFonts w:hint="eastAsia" w:ascii="宋体" w:hAnsi="宋体"/>
          <w:bCs/>
          <w:color w:val="000000" w:themeColor="text1"/>
          <w:sz w:val="24"/>
          <w:szCs w:val="24"/>
          <w14:textFill>
            <w14:solidFill>
              <w14:schemeClr w14:val="tx1"/>
            </w14:solidFill>
          </w14:textFill>
        </w:rPr>
        <w:t xml:space="preserve">项目，兹授权：</w:t>
      </w:r>
      <w:r/>
    </w:p>
    <w:p>
      <w:pPr>
        <w:pStyle w:val="100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被授权人的姓名：；性别：；年龄：；职务：；</w:t>
      </w:r>
      <w:r/>
    </w:p>
    <w:p>
      <w:pPr>
        <w:pStyle w:val="100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被授权人的身份证号码：；联系方式：；</w:t>
      </w:r>
      <w:r/>
    </w:p>
    <w:p>
      <w:pPr>
        <w:pStyle w:val="100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09"/>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0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09"/>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授权日期：年月日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0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             被授权人签字：</w:t>
      </w:r>
      <w:r/>
    </w:p>
    <w:p>
      <w:pPr>
        <w:pStyle w:val="1009"/>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0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09"/>
        <w:numPr>
          <w:ilvl w:val="0"/>
          <w:numId w:val="14"/>
        </w:numPr>
        <w:ind w:firstLine="48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09"/>
        <w:numPr>
          <w:ilvl w:val="0"/>
          <w:numId w:val="14"/>
        </w:numPr>
        <w:ind w:firstLine="48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09"/>
        <w:numPr>
          <w:ilvl w:val="0"/>
          <w:numId w:val="14"/>
        </w:numPr>
        <w:ind w:firstLine="48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09"/>
        <w:numPr>
          <w:ilvl w:val="0"/>
          <w:numId w:val="14"/>
        </w:numPr>
        <w:ind w:firstLine="480"/>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09"/>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JSZC-320200-XWJC-G2025-0107</w:t>
      </w:r>
      <w:r>
        <w:rPr>
          <w:rFonts w:hint="eastAsia" w:ascii="宋体" w:hAnsi="宋体"/>
          <w:bCs/>
          <w:color w:val="000000" w:themeColor="text1"/>
          <w:sz w:val="24"/>
          <w:szCs w:val="24"/>
          <w14:textFill>
            <w14:solidFill>
              <w14:schemeClr w14:val="tx1"/>
            </w14:solidFill>
          </w14:textFill>
        </w:rPr>
        <w:t xml:space="preserve">进行投标，并作如下声明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，从业人员人，营业收入为万元，资产总额为万元，属于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，从业人员人，营业收入为万元，资产总额为万元，属于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JSZC-320200-XWJC-G2025-0107</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15"/>
        </w:numPr>
        <w:ind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15"/>
        </w:numPr>
        <w:ind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98"/>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15"/>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5"/>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15"/>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15"/>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15"/>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15"/>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5"/>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 ；传真：；邮编：</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p>
    <w:p>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JSZC-320200-XWJC-G2025-0107</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照《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JSZC-320200-XWJC-G2025-0107</w:t>
      </w:r>
      <w:r/>
    </w:p>
    <w:tbl>
      <w:tblPr>
        <w:tblStyle w:val="70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tcPr>
          <w:p>
            <w:pPr>
              <w:pStyle w:val="1037"/>
              <w:jc w:val="center"/>
              <w:spacing w:line="400" w:lineRule="exact"/>
              <w:rPr>
                <w:rFonts w:hAnsi="宋体"/>
                <w:bCs/>
                <w:color w:val="000000" w:themeColor="text1"/>
                <w14:textFill>
                  <w14:solidFill>
                    <w14:schemeClr w14:val="tx1"/>
                  </w14:solidFill>
                </w14:textFill>
              </w:rPr>
            </w:pPr>
            <w:r>
              <w:rPr>
                <w:rFonts w:hAnsi="宋体"/>
                <w:bCs/>
                <w:color w:val="000000" w:themeColor="text1"/>
                <w14:textFill>
                  <w14:solidFill>
                    <w14:schemeClr w14:val="tx1"/>
                  </w14:solidFill>
                </w14:textFill>
              </w:rPr>
            </w:r>
            <w:r/>
          </w:p>
        </w:tc>
        <w:tc>
          <w:tcPr>
            <w:tcW w:w="3188" w:type="dxa"/>
            <w:vAlign w:val="center"/>
            <w:textDirection w:val="lrTb"/>
            <w:noWrap/>
          </w:tcPr>
          <w:p>
            <w:pPr>
              <w:pStyle w:val="1037"/>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r>
            <w:r/>
          </w:p>
        </w:tc>
      </w:tr>
      <w:tr>
        <w:trPr>
          <w:cantSplit/>
          <w:trHeight w:val="780"/>
        </w:trPr>
        <w:tc>
          <w:tcPr>
            <w:gridSpan w:val="2"/>
            <w:tcW w:w="8885" w:type="dxa"/>
            <w:vAlign w:val="center"/>
            <w:textDirection w:val="lrTb"/>
            <w:noWrap/>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197"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JSZC-320200-XWJC-G2025-0107</w:t>
      </w:r>
      <w:r/>
    </w:p>
    <w:tbl>
      <w:tblPr>
        <w:tblStyle w:val="70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3"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3"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交货完工期： 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ascii="宋体" w:hAnsi="宋体"/>
          <w:b/>
          <w:color w:val="000000" w:themeColor="text1"/>
          <w14:textFill>
            <w14:solidFill>
              <w14:schemeClr w14:val="tx1"/>
            </w14:solidFill>
          </w14:textFill>
        </w:rPr>
        <w:outlineLvl w:val="0"/>
      </w:pPr>
      <w:r>
        <w:rPr>
          <w:rFonts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JSZC-320200-XWJC-G2025-0107</w:t>
      </w:r>
      <w:r/>
    </w:p>
    <w:tbl>
      <w:tblPr>
        <w:tblStyle w:val="70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97"/>
      <w:r/>
      <w:bookmarkStart w:id="198" w:name="_Hlt26955066"/>
      <w:r/>
      <w:bookmarkEnd w:id="198"/>
      <w:r/>
      <w:bookmarkStart w:id="199" w:name="_格式2__法定代表人授权书"/>
      <w:r/>
      <w:bookmarkEnd w:id="199"/>
      <w:r/>
      <w:bookmarkStart w:id="200" w:name="_Hlt26609389"/>
      <w:r/>
      <w:bookmarkEnd w:id="200"/>
      <w:r/>
      <w:bookmarkStart w:id="201" w:name="_Hlt26671374"/>
      <w:r/>
      <w:bookmarkEnd w:id="201"/>
      <w:r/>
      <w:r/>
    </w:p>
    <w:p>
      <w:pPr>
        <w:ind w:firstLine="96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（4）投标人应当根据“采购需求”的内容在上表中逐条填写。</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JSZC-320200-XWJC-G2025-0107</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rFonts w:ascii="宋体" w:hAnsi="宋体"/>
          <w:b/>
          <w:color w:val="000000"/>
          <w:sz w:val="30"/>
          <w:szCs w:val="30"/>
        </w:rPr>
      </w:pPr>
      <w:r>
        <w:rPr>
          <w:rFonts w:ascii="宋体" w:hAnsi="宋体"/>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1.代表我方在中华人民共和国办理贵方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无锡市中医医院眩晕诊疗系统项目（第二次）</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JSZC-320200-XWJC-G2025-0107</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2.作为制造商，我方保证以报价合作者来约束自己，并对该报价共同和分别承担采购文件中所规定的义务。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3.我方兹授予（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17"/>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717"/>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我方于年月日签署本文件，（投标供应商）于年月日接受此件，以此为证。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宋体" w:hAnsi="宋体"/>
          <w:b/>
          <w:color w:val="000000" w:themeColor="text1"/>
          <w:sz w:val="30"/>
          <w:szCs w:val="30"/>
          <w14:textFill>
            <w14:solidFill>
              <w14:schemeClr w14:val="tx1"/>
            </w14:solidFill>
          </w14:textFill>
        </w:rPr>
        <w:outlineLvl w:val="0"/>
      </w:pPr>
      <w:r>
        <w:rPr>
          <w:rFonts w:hint="eastAsia" w:ascii="宋体" w:hAnsi="宋体"/>
          <w:b/>
          <w:color w:val="000000" w:themeColor="text1"/>
          <w:sz w:val="30"/>
          <w:szCs w:val="30"/>
          <w14:textFill>
            <w14:solidFill>
              <w14:schemeClr w14:val="tx1"/>
            </w14:solidFill>
          </w14:textFill>
        </w:rPr>
        <w:t xml:space="preserve">4.设备随机耗材要求（格式自拟）</w:t>
      </w:r>
      <w:r/>
    </w:p>
    <w:p>
      <w:pPr>
        <w:ind w:firstLine="480"/>
        <w:jc w:val="left"/>
        <w:spacing w:line="360" w:lineRule="auto"/>
        <w:rPr>
          <w:rFonts w:ascii="宋体" w:hAnsi="宋体" w:cs="仿宋"/>
          <w:b/>
          <w:color w:val="000000" w:themeColor="text1"/>
          <w:sz w:val="24"/>
          <w14:textFill>
            <w14:solidFill>
              <w14:schemeClr w14:val="tx1"/>
            </w14:solidFill>
          </w14:textFill>
        </w:rPr>
      </w:pPr>
      <w:r>
        <w:rPr>
          <w:rFonts w:hint="eastAsia" w:ascii="宋体" w:hAnsi="宋体" w:cs="宋体"/>
          <w:color w:val="000000"/>
          <w:sz w:val="24"/>
          <w:szCs w:val="24"/>
        </w:rPr>
        <w:t xml:space="preserve">投标供应商应列明能确保设备正常使用的所需耗材及维修配件的清单及价格；承诺所有耗材已通过江苏省药品和医用耗材招采管理系统挂网并列明产品编码；未列其中的，视为免费维保范围之材料</w:t>
      </w:r>
      <w:r>
        <w:rPr>
          <w:rFonts w:hint="eastAsia" w:ascii="宋体" w:hAnsi="宋体" w:cs="宋体"/>
          <w:sz w:val="24"/>
          <w:szCs w:val="24"/>
        </w:rPr>
        <w:t xml:space="preserve">，和设备拥有同等保修期及保修服务</w:t>
      </w:r>
      <w:r>
        <w:rPr>
          <w:rFonts w:hint="eastAsia" w:ascii="宋体" w:hAnsi="宋体" w:cs="宋体"/>
          <w:color w:val="000000"/>
          <w:sz w:val="24"/>
          <w:szCs w:val="24"/>
        </w:rPr>
        <w:t xml:space="preserve">。</w:t>
      </w:r>
      <w:r/>
    </w:p>
    <w:p>
      <w:pPr>
        <w:ind w:right="-14"/>
        <w:jc w:val="left"/>
        <w:rPr>
          <w:rFonts w:ascii="宋体" w:hAnsi="宋体" w:cs="仿宋"/>
          <w:b/>
          <w:color w:val="000000" w:themeColor="text1"/>
          <w:sz w:val="24"/>
          <w14:textFill>
            <w14:solidFill>
              <w14:schemeClr w14:val="tx1"/>
            </w14:solidFill>
          </w14:textFill>
        </w:rPr>
      </w:pPr>
      <w:r>
        <w:rPr>
          <w:rFonts w:ascii="宋体" w:hAnsi="宋体" w:cs="仿宋"/>
          <w:b/>
          <w:color w:val="000000" w:themeColor="text1"/>
          <w:sz w:val="24"/>
          <w14:textFill>
            <w14:solidFill>
              <w14:schemeClr w14:val="tx1"/>
            </w14:solidFill>
          </w14:textFill>
        </w:rPr>
      </w:r>
      <w:r/>
    </w:p>
    <w:p>
      <w:pPr>
        <w:ind w:right="-14"/>
        <w:jc w:val="left"/>
        <w:rPr>
          <w:rFonts w:ascii="宋体" w:hAnsi="宋体" w:cs="仿宋"/>
          <w:b/>
          <w:color w:val="000000" w:themeColor="text1"/>
          <w:sz w:val="24"/>
          <w14:textFill>
            <w14:solidFill>
              <w14:schemeClr w14:val="tx1"/>
            </w14:solidFill>
          </w14:textFill>
        </w:rPr>
      </w:pPr>
      <w:r>
        <w:rPr>
          <w:rFonts w:ascii="宋体" w:hAnsi="宋体" w:cs="仿宋"/>
          <w:b/>
          <w:color w:val="000000" w:themeColor="text1"/>
          <w:sz w:val="24"/>
          <w14:textFill>
            <w14:solidFill>
              <w14:schemeClr w14:val="tx1"/>
            </w14:solidFill>
          </w14:textFill>
        </w:rPr>
      </w:r>
      <w:r/>
    </w:p>
    <w:p>
      <w:pPr>
        <w:ind w:right="-14"/>
        <w:jc w:val="left"/>
        <w:rPr>
          <w:rFonts w:ascii="宋体" w:hAnsi="宋体" w:cs="仿宋"/>
          <w:b/>
          <w:color w:val="000000" w:themeColor="text1"/>
          <w:sz w:val="24"/>
          <w14:textFill>
            <w14:solidFill>
              <w14:schemeClr w14:val="tx1"/>
            </w14:solidFill>
          </w14:textFill>
        </w:rPr>
      </w:pPr>
      <w:r>
        <w:rPr>
          <w:rFonts w:ascii="宋体" w:hAnsi="宋体" w:cs="仿宋"/>
          <w:b/>
          <w:color w:val="000000" w:themeColor="text1"/>
          <w:sz w:val="24"/>
          <w14:textFill>
            <w14:solidFill>
              <w14:schemeClr w14:val="tx1"/>
            </w14:solidFill>
          </w14:textFill>
        </w:rPr>
      </w:r>
      <w:r/>
    </w:p>
    <w:p>
      <w:pPr>
        <w:ind w:firstLine="480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pStyle w:val="717"/>
        <w:ind w:firstLine="2520"/>
        <w:rPr>
          <w:rFonts w:ascii="宋体" w:hAnsi="宋体" w:eastAsia="宋体"/>
          <w:b/>
          <w:color w:val="000000" w:themeColor="text1"/>
          <w:sz w:val="30"/>
          <w:szCs w:val="30"/>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法定代表人或法定代表人授权代表CA签章：</w:t>
      </w:r>
      <w:r/>
    </w:p>
    <w:p>
      <w:pPr>
        <w:pStyle w:val="717"/>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17"/>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17"/>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17"/>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17"/>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17"/>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17"/>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17"/>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17"/>
        <w:rPr>
          <w:rFonts w:ascii="宋体" w:hAnsi="宋体" w:eastAsia="宋体"/>
          <w:color w:val="000000" w:themeColor="text1"/>
          <w14:textFill>
            <w14:solidFill>
              <w14:schemeClr w14:val="tx1"/>
            </w14:solidFill>
          </w14:textFill>
        </w:rPr>
      </w:pPr>
      <w:r>
        <w:rPr>
          <w:rFonts w:hint="eastAsia" w:ascii="宋体" w:hAnsi="宋体" w:eastAsia="宋体"/>
          <w:b/>
          <w:color w:val="000000" w:themeColor="text1"/>
          <w:sz w:val="30"/>
          <w:szCs w:val="30"/>
          <w14:textFill>
            <w14:solidFill>
              <w14:schemeClr w14:val="tx1"/>
            </w14:solidFill>
          </w14:textFill>
        </w:rPr>
        <w:t xml:space="preserve">5.关于所投</w:t>
      </w:r>
      <w:r>
        <w:rPr>
          <w:rFonts w:hint="eastAsia" w:ascii="宋体" w:hAnsi="宋体" w:eastAsia="宋体"/>
          <w:b/>
          <w:color w:val="000000" w:themeColor="text1"/>
          <w:sz w:val="30"/>
          <w:szCs w:val="30"/>
          <w:u w:val="single"/>
          <w14:textFill>
            <w14:solidFill>
              <w14:schemeClr w14:val="tx1"/>
            </w14:solidFill>
          </w14:textFill>
        </w:rPr>
        <w:t xml:space="preserve">     </w:t>
      </w:r>
      <w:r>
        <w:rPr>
          <w:rFonts w:hint="eastAsia" w:ascii="宋体" w:hAnsi="宋体" w:eastAsia="宋体"/>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制造厂商</w:t>
      </w:r>
      <w:r>
        <w:rPr>
          <w:rFonts w:ascii="宋体" w:hAnsi="宋体" w:cs="宋体"/>
          <w:color w:val="000000" w:themeColor="text1"/>
          <w:sz w:val="24"/>
          <w:szCs w:val="24"/>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制造厂家法定（授权）代表人：</w:t>
      </w:r>
      <w:r/>
    </w:p>
    <w:p>
      <w:pPr>
        <w:ind w:firstLine="480"/>
        <w:spacing w:line="360" w:lineRule="auto"/>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日期：                                  </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Courier New">
    <w:panose1 w:val="020703090202050204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fldChar w:fldCharType="begin"/>
    </w:r>
    <w:r>
      <w:instrText xml:space="preserve">PAGE \* MERGEFORMAT</w:instrText>
    </w:r>
    <w:r>
      <w:fldChar w:fldCharType="separate"/>
    </w:r>
    <w:r>
      <w:t xml:space="preserve">26</w:t>
    </w:r>
    <w:r>
      <w:fldChar w:fldCharType="end"/>
    </w:r>
    <w:r/>
  </w:p>
  <w:p>
    <w:pPr>
      <w:pStyle w:val="7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tab"/>
      <w:lvlText w:val="%1."/>
      <w:lvlJc w:val="left"/>
      <w:pPr>
        <w:ind w:left="0" w:firstLine="0"/>
      </w:pPr>
      <w:rPr>
        <w:rFonts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2"/>
      <w:isLgl w:val="false"/>
      <w:suff w:val="nothing"/>
      <w:lvlText w:val=""/>
      <w:lvlJc w:val="left"/>
      <w:pPr>
        <w:ind w:left="0" w:firstLine="0"/>
      </w:pPr>
      <w:rPr>
        <w:rFonts w:hint="eastAsia"/>
      </w:rPr>
    </w:lvl>
    <w:lvl w:ilvl="6">
      <w:start w:val="1"/>
      <w:numFmt w:val="decimal"/>
      <w:pStyle w:val="933"/>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5"/>
      <w:isLgl w:val="false"/>
      <w:suff w:val="nothing"/>
      <w:lvlText w:val=""/>
      <w:lvlJc w:val="left"/>
      <w:pPr>
        <w:ind w:left="0" w:firstLine="0"/>
      </w:pPr>
      <w:rPr>
        <w:rFonts w:hint="eastAsia"/>
      </w:rPr>
    </w:lvl>
  </w:abstractNum>
  <w:abstractNum w:abstractNumId="7">
    <w:multiLevelType w:val="hybridMultilevel"/>
    <w:lvl w:ilvl="0">
      <w:start w:val="16"/>
      <w:numFmt w:val="decimal"/>
      <w:isLgl w:val="false"/>
      <w:suff w:val="tab"/>
      <w:lvlText w:val="%1."/>
      <w:lvlJc w:val="left"/>
      <w:pPr>
        <w:ind w:left="0" w:firstLine="0"/>
      </w:pPr>
      <w:rPr>
        <w:rFonts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rPr>
        <w:rFonts w:ascii="宋体" w:hAnsi="宋体" w:eastAsia="宋体"/>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14">
    <w:multiLevelType w:val="hybridMultilevel"/>
    <w:lvl w:ilvl="0">
      <w:start w:val="6"/>
      <w:numFmt w:val="decimal"/>
      <w:isLgl w:val="false"/>
      <w:suff w:val="tab"/>
      <w:lvlText w:val="%1."/>
      <w:lvlJc w:val="left"/>
      <w:pPr>
        <w:ind w:left="0" w:firstLine="0"/>
      </w:pPr>
      <w:rPr>
        <w:rFonts w:ascii="宋体" w:hAnsi="宋体" w:eastAsia="宋体"/>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5">
    <w:name w:val="Heading 1"/>
    <w:basedOn w:val="694"/>
    <w:next w:val="694"/>
    <w:link w:val="778"/>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79"/>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8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8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82"/>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83"/>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85"/>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86"/>
    <w:uiPriority w:val="9"/>
    <w:unhideWhenUsed/>
    <w:qFormat/>
    <w:pPr>
      <w:keepLines/>
      <w:keepNext/>
      <w:spacing w:before="320" w:after="200"/>
      <w:outlineLvl w:val="8"/>
    </w:pPr>
    <w:rPr>
      <w:rFonts w:ascii="Arial" w:hAnsi="Arial" w:eastAsia="Arial" w:cs="Arial"/>
      <w:i/>
      <w:iCs/>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index 5"/>
    <w:basedOn w:val="694"/>
    <w:next w:val="694"/>
    <w:uiPriority w:val="99"/>
    <w:semiHidden/>
    <w:qFormat/>
    <w:pPr>
      <w:ind w:left="1680"/>
    </w:pPr>
    <w:rPr>
      <w:rFonts w:ascii="Times New Roman" w:hAnsi="Times New Roman" w:eastAsia="楷体_GB2312" w:cs="Times New Roman"/>
      <w:sz w:val="26"/>
      <w:szCs w:val="26"/>
    </w:rPr>
  </w:style>
  <w:style w:type="paragraph" w:styleId="709">
    <w:name w:val="Body Text"/>
    <w:basedOn w:val="694"/>
    <w:uiPriority w:val="0"/>
    <w:unhideWhenUsed/>
    <w:qFormat/>
    <w:pPr>
      <w:spacing w:after="120"/>
    </w:pPr>
    <w:rPr>
      <w:rFonts w:ascii="Calibri" w:hAnsi="Calibri"/>
      <w:szCs w:val="22"/>
    </w:rPr>
  </w:style>
  <w:style w:type="paragraph" w:styleId="710">
    <w:name w:val="Body Text Indent"/>
    <w:basedOn w:val="694"/>
    <w:uiPriority w:val="99"/>
    <w:qFormat/>
    <w:pPr>
      <w:ind w:firstLine="576"/>
    </w:pPr>
    <w:rPr>
      <w:sz w:val="20"/>
      <w:szCs w:val="20"/>
    </w:rPr>
  </w:style>
  <w:style w:type="paragraph" w:styleId="711">
    <w:name w:val="toc 5"/>
    <w:basedOn w:val="694"/>
    <w:next w:val="694"/>
    <w:uiPriority w:val="39"/>
    <w:unhideWhenUsed/>
    <w:qFormat/>
    <w:pPr>
      <w:ind w:left="1134"/>
      <w:spacing w:after="57"/>
    </w:pPr>
  </w:style>
  <w:style w:type="paragraph" w:styleId="712">
    <w:name w:val="toc 3"/>
    <w:basedOn w:val="694"/>
    <w:next w:val="694"/>
    <w:uiPriority w:val="39"/>
    <w:unhideWhenUsed/>
    <w:qFormat/>
    <w:pPr>
      <w:ind w:left="567"/>
      <w:spacing w:after="57"/>
    </w:pPr>
  </w:style>
  <w:style w:type="paragraph" w:styleId="713">
    <w:name w:val="Plain Text"/>
    <w:basedOn w:val="694"/>
    <w:uiPriority w:val="0"/>
    <w:qFormat/>
    <w:rPr>
      <w:rFonts w:ascii="宋体" w:hAnsi="Courier New" w:cs="Courier New"/>
    </w:rPr>
  </w:style>
  <w:style w:type="paragraph" w:styleId="714">
    <w:name w:val="toc 8"/>
    <w:basedOn w:val="694"/>
    <w:next w:val="694"/>
    <w:uiPriority w:val="39"/>
    <w:unhideWhenUsed/>
    <w:qFormat/>
    <w:pPr>
      <w:ind w:left="1984"/>
      <w:spacing w:after="57"/>
    </w:pPr>
  </w:style>
  <w:style w:type="paragraph" w:styleId="715">
    <w:name w:val="endnote text"/>
    <w:basedOn w:val="694"/>
    <w:link w:val="924"/>
    <w:uiPriority w:val="99"/>
    <w:semiHidden/>
    <w:unhideWhenUsed/>
    <w:qFormat/>
    <w:rPr>
      <w:sz w:val="20"/>
    </w:rPr>
  </w:style>
  <w:style w:type="paragraph" w:styleId="716">
    <w:name w:val="Footer"/>
    <w:basedOn w:val="694"/>
    <w:link w:val="797"/>
    <w:uiPriority w:val="99"/>
    <w:unhideWhenUsed/>
    <w:qFormat/>
    <w:pPr>
      <w:tabs>
        <w:tab w:val="center" w:pos="7143" w:leader="none"/>
        <w:tab w:val="right" w:pos="14287" w:leader="none"/>
      </w:tabs>
    </w:pPr>
  </w:style>
  <w:style w:type="paragraph" w:styleId="717">
    <w:name w:val="envelope return"/>
    <w:basedOn w:val="694"/>
    <w:uiPriority w:val="0"/>
    <w:qFormat/>
    <w:rPr>
      <w:rFonts w:ascii="Arial" w:hAnsi="Arial" w:eastAsia="楷体_GB2312"/>
      <w:sz w:val="26"/>
      <w:szCs w:val="20"/>
    </w:rPr>
  </w:style>
  <w:style w:type="paragraph" w:styleId="718">
    <w:name w:val="Header"/>
    <w:basedOn w:val="694"/>
    <w:link w:val="795"/>
    <w:uiPriority w:val="99"/>
    <w:unhideWhenUsed/>
    <w:qFormat/>
    <w:pPr>
      <w:tabs>
        <w:tab w:val="center" w:pos="7143" w:leader="none"/>
        <w:tab w:val="right" w:pos="14287" w:leader="none"/>
      </w:tabs>
    </w:pPr>
  </w:style>
  <w:style w:type="paragraph" w:styleId="719">
    <w:name w:val="toc 1"/>
    <w:basedOn w:val="694"/>
    <w:next w:val="694"/>
    <w:uiPriority w:val="39"/>
    <w:unhideWhenUsed/>
    <w:qFormat/>
    <w:pPr>
      <w:spacing w:after="57"/>
    </w:pPr>
  </w:style>
  <w:style w:type="paragraph" w:styleId="720">
    <w:name w:val="toc 4"/>
    <w:basedOn w:val="694"/>
    <w:next w:val="694"/>
    <w:uiPriority w:val="39"/>
    <w:unhideWhenUsed/>
    <w:qFormat/>
    <w:pPr>
      <w:ind w:left="850"/>
      <w:spacing w:after="57"/>
    </w:pPr>
  </w:style>
  <w:style w:type="paragraph" w:styleId="721">
    <w:name w:val="Subtitle"/>
    <w:basedOn w:val="694"/>
    <w:next w:val="694"/>
    <w:link w:val="790"/>
    <w:uiPriority w:val="11"/>
    <w:qFormat/>
    <w:pPr>
      <w:spacing w:before="200" w:after="200"/>
    </w:pPr>
    <w:rPr>
      <w:sz w:val="24"/>
      <w:szCs w:val="24"/>
    </w:rPr>
  </w:style>
  <w:style w:type="paragraph" w:styleId="722">
    <w:name w:val="footnote text"/>
    <w:basedOn w:val="694"/>
    <w:link w:val="923"/>
    <w:uiPriority w:val="99"/>
    <w:semiHidden/>
    <w:unhideWhenUsed/>
    <w:qFormat/>
    <w:pPr>
      <w:spacing w:after="40"/>
    </w:pPr>
    <w:rPr>
      <w:sz w:val="18"/>
    </w:rPr>
  </w:style>
  <w:style w:type="paragraph" w:styleId="723">
    <w:name w:val="toc 6"/>
    <w:basedOn w:val="694"/>
    <w:next w:val="694"/>
    <w:uiPriority w:val="39"/>
    <w:unhideWhenUsed/>
    <w:qFormat/>
    <w:pPr>
      <w:ind w:left="1417"/>
      <w:spacing w:after="57"/>
    </w:pPr>
  </w:style>
  <w:style w:type="paragraph" w:styleId="724">
    <w:name w:val="table of figures"/>
    <w:basedOn w:val="694"/>
    <w:next w:val="694"/>
    <w:uiPriority w:val="99"/>
    <w:unhideWhenUsed/>
    <w:qFormat/>
  </w:style>
  <w:style w:type="paragraph" w:styleId="725">
    <w:name w:val="toc 2"/>
    <w:basedOn w:val="694"/>
    <w:next w:val="694"/>
    <w:uiPriority w:val="39"/>
    <w:unhideWhenUsed/>
    <w:qFormat/>
    <w:pPr>
      <w:ind w:left="283"/>
      <w:spacing w:after="57"/>
    </w:pPr>
  </w:style>
  <w:style w:type="paragraph" w:styleId="726">
    <w:name w:val="toc 9"/>
    <w:basedOn w:val="694"/>
    <w:next w:val="694"/>
    <w:uiPriority w:val="39"/>
    <w:unhideWhenUsed/>
    <w:qFormat/>
    <w:pPr>
      <w:ind w:left="2268"/>
      <w:spacing w:after="57"/>
    </w:pPr>
  </w:style>
  <w:style w:type="paragraph" w:styleId="727">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28">
    <w:name w:val="Title"/>
    <w:basedOn w:val="694"/>
    <w:next w:val="694"/>
    <w:link w:val="789"/>
    <w:uiPriority w:val="10"/>
    <w:qFormat/>
    <w:pPr>
      <w:contextualSpacing/>
      <w:spacing w:before="300" w:after="200"/>
    </w:pPr>
    <w:rPr>
      <w:sz w:val="48"/>
      <w:szCs w:val="48"/>
    </w:rPr>
  </w:style>
  <w:style w:type="paragraph" w:styleId="729">
    <w:name w:val="Body Text First Indent"/>
    <w:basedOn w:val="709"/>
    <w:uiPriority w:val="0"/>
    <w:qFormat/>
    <w:pPr>
      <w:ind w:firstLine="420"/>
      <w:spacing w:line="360" w:lineRule="auto"/>
    </w:pPr>
    <w:rPr>
      <w:rFonts w:ascii="Times New Roman" w:hAnsi="Times New Roman"/>
      <w:szCs w:val="21"/>
    </w:rPr>
  </w:style>
  <w:style w:type="table" w:styleId="73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4"/>
    <w:uiPriority w:val="22"/>
    <w:qFormat/>
    <w:rPr>
      <w:b/>
    </w:r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table" w:styleId="735"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4" w:customStyle="1">
    <w:name w:val="TOC Heading"/>
    <w:uiPriority w:val="39"/>
    <w:unhideWhenUsed/>
    <w:qFormat/>
    <w:rPr>
      <w:rFonts w:hint="default" w:ascii="Times New Roman" w:hAnsi="Times New Roman" w:eastAsia="宋体" w:cs="Times New Roman"/>
    </w:rPr>
  </w:style>
  <w:style w:type="paragraph" w:styleId="755" w:customStyle="1">
    <w:name w:val="TOC 标题1"/>
    <w:uiPriority w:val="39"/>
    <w:unhideWhenUsed/>
    <w:qFormat/>
    <w:rPr>
      <w:rFonts w:hint="default" w:ascii="Times New Roman" w:hAnsi="Times New Roman" w:eastAsia="宋体" w:cs="Times New Roman"/>
      <w:lang w:val="en-US" w:eastAsia="zh-CN" w:bidi="ar-SA"/>
    </w:rPr>
  </w:style>
  <w:style w:type="paragraph" w:styleId="756" w:customStyle="1">
    <w:name w:val="TOC 标题113"/>
    <w:uiPriority w:val="39"/>
    <w:unhideWhenUsed/>
    <w:qFormat/>
    <w:rPr>
      <w:rFonts w:hint="default" w:ascii="Times New Roman" w:hAnsi="Times New Roman" w:eastAsia="宋体" w:cs="Times New Roman"/>
      <w:lang w:val="en-US" w:eastAsia="zh-CN" w:bidi="ar-SA"/>
    </w:rPr>
  </w:style>
  <w:style w:type="paragraph" w:styleId="757" w:customStyle="1">
    <w:name w:val="TOC 标题112"/>
    <w:uiPriority w:val="39"/>
    <w:unhideWhenUsed/>
    <w:qFormat/>
    <w:rPr>
      <w:rFonts w:hint="default" w:ascii="Times New Roman" w:hAnsi="Times New Roman" w:eastAsia="宋体" w:cs="Times New Roman"/>
      <w:lang w:val="en-US" w:eastAsia="zh-CN" w:bidi="ar-SA"/>
    </w:rPr>
  </w:style>
  <w:style w:type="character" w:styleId="758" w:customStyle="1">
    <w:name w:val="Heading 1 Char"/>
    <w:basedOn w:val="704"/>
    <w:uiPriority w:val="9"/>
    <w:qFormat/>
    <w:rPr>
      <w:rFonts w:ascii="Arial" w:hAnsi="Arial" w:eastAsia="Arial" w:cs="Arial"/>
      <w:sz w:val="40"/>
      <w:szCs w:val="40"/>
    </w:rPr>
  </w:style>
  <w:style w:type="character" w:styleId="759" w:customStyle="1">
    <w:name w:val="Heading 2 Char"/>
    <w:basedOn w:val="704"/>
    <w:uiPriority w:val="9"/>
    <w:qFormat/>
    <w:rPr>
      <w:rFonts w:ascii="Arial" w:hAnsi="Arial" w:eastAsia="Arial" w:cs="Arial"/>
      <w:sz w:val="34"/>
    </w:rPr>
  </w:style>
  <w:style w:type="character" w:styleId="760" w:customStyle="1">
    <w:name w:val="Heading 3 Char"/>
    <w:basedOn w:val="704"/>
    <w:uiPriority w:val="9"/>
    <w:qFormat/>
    <w:rPr>
      <w:rFonts w:ascii="Arial" w:hAnsi="Arial" w:eastAsia="Arial" w:cs="Arial"/>
      <w:sz w:val="30"/>
      <w:szCs w:val="30"/>
    </w:rPr>
  </w:style>
  <w:style w:type="character" w:styleId="761" w:customStyle="1">
    <w:name w:val="Heading 4 Char"/>
    <w:basedOn w:val="704"/>
    <w:uiPriority w:val="9"/>
    <w:qFormat/>
    <w:rPr>
      <w:rFonts w:ascii="Arial" w:hAnsi="Arial" w:eastAsia="Arial" w:cs="Arial"/>
      <w:b/>
      <w:bCs/>
      <w:sz w:val="26"/>
      <w:szCs w:val="26"/>
    </w:rPr>
  </w:style>
  <w:style w:type="character" w:styleId="762" w:customStyle="1">
    <w:name w:val="Heading 5 Char"/>
    <w:basedOn w:val="704"/>
    <w:uiPriority w:val="9"/>
    <w:qFormat/>
    <w:rPr>
      <w:rFonts w:ascii="Arial" w:hAnsi="Arial" w:eastAsia="Arial" w:cs="Arial"/>
      <w:b/>
      <w:bCs/>
      <w:sz w:val="24"/>
      <w:szCs w:val="24"/>
    </w:rPr>
  </w:style>
  <w:style w:type="character" w:styleId="763" w:customStyle="1">
    <w:name w:val="Heading 6 Char"/>
    <w:basedOn w:val="704"/>
    <w:uiPriority w:val="9"/>
    <w:qFormat/>
    <w:rPr>
      <w:rFonts w:ascii="Arial" w:hAnsi="Arial" w:eastAsia="Arial" w:cs="Arial"/>
      <w:b/>
      <w:bCs/>
      <w:sz w:val="22"/>
      <w:szCs w:val="22"/>
    </w:rPr>
  </w:style>
  <w:style w:type="character" w:styleId="764" w:customStyle="1">
    <w:name w:val="Heading 7 Char"/>
    <w:basedOn w:val="704"/>
    <w:uiPriority w:val="9"/>
    <w:qFormat/>
    <w:rPr>
      <w:rFonts w:ascii="Arial" w:hAnsi="Arial" w:eastAsia="Arial" w:cs="Arial"/>
      <w:b/>
      <w:bCs/>
      <w:i/>
      <w:iCs/>
      <w:sz w:val="22"/>
      <w:szCs w:val="22"/>
    </w:rPr>
  </w:style>
  <w:style w:type="character" w:styleId="765" w:customStyle="1">
    <w:name w:val="Heading 8 Char"/>
    <w:basedOn w:val="704"/>
    <w:uiPriority w:val="9"/>
    <w:qFormat/>
    <w:rPr>
      <w:rFonts w:ascii="Arial" w:hAnsi="Arial" w:eastAsia="Arial" w:cs="Arial"/>
      <w:i/>
      <w:iCs/>
      <w:sz w:val="22"/>
      <w:szCs w:val="22"/>
    </w:rPr>
  </w:style>
  <w:style w:type="character" w:styleId="766" w:customStyle="1">
    <w:name w:val="Heading 9 Char"/>
    <w:basedOn w:val="704"/>
    <w:uiPriority w:val="9"/>
    <w:qFormat/>
    <w:rPr>
      <w:rFonts w:ascii="Arial" w:hAnsi="Arial" w:eastAsia="Arial" w:cs="Arial"/>
      <w:i/>
      <w:iCs/>
      <w:sz w:val="21"/>
      <w:szCs w:val="21"/>
    </w:rPr>
  </w:style>
  <w:style w:type="character" w:styleId="767" w:customStyle="1">
    <w:name w:val="Title Char"/>
    <w:basedOn w:val="704"/>
    <w:uiPriority w:val="10"/>
    <w:qFormat/>
    <w:rPr>
      <w:sz w:val="48"/>
      <w:szCs w:val="48"/>
    </w:rPr>
  </w:style>
  <w:style w:type="character" w:styleId="768" w:customStyle="1">
    <w:name w:val="Subtitle Char"/>
    <w:basedOn w:val="704"/>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Header Char"/>
    <w:basedOn w:val="704"/>
    <w:uiPriority w:val="99"/>
    <w:qFormat/>
  </w:style>
  <w:style w:type="character" w:styleId="772" w:customStyle="1">
    <w:name w:val="Caption Char"/>
    <w:uiPriority w:val="99"/>
    <w:qFormat/>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TOC 标题111"/>
    <w:uiPriority w:val="39"/>
    <w:unhideWhenUsed/>
    <w:qFormat/>
    <w:rPr>
      <w:rFonts w:hint="default" w:ascii="Times New Roman" w:hAnsi="Times New Roman" w:eastAsia="宋体" w:cs="Times New Roman"/>
      <w:lang w:val="en-US" w:eastAsia="zh-CN" w:bidi="ar-SA"/>
    </w:rPr>
  </w:style>
  <w:style w:type="paragraph" w:styleId="776" w:customStyle="1">
    <w:name w:val="正文文本缩进1"/>
    <w:basedOn w:val="694"/>
    <w:link w:val="958"/>
    <w:uiPriority w:val="0"/>
    <w:qFormat/>
    <w:pPr>
      <w:ind w:firstLine="645"/>
    </w:pPr>
    <w:rPr>
      <w:rFonts w:ascii="楷体_GB2312" w:eastAsia="楷体_GB2312"/>
      <w:sz w:val="32"/>
      <w:szCs w:val="32"/>
      <w:lang w:eastAsia="en-US"/>
    </w:rPr>
  </w:style>
  <w:style w:type="paragraph" w:styleId="7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8" w:customStyle="1">
    <w:name w:val="标题 1 字符"/>
    <w:link w:val="695"/>
    <w:uiPriority w:val="9"/>
    <w:qFormat/>
    <w:rPr>
      <w:rFonts w:ascii="Arial" w:hAnsi="Arial" w:eastAsia="Arial" w:cs="Arial"/>
      <w:sz w:val="40"/>
      <w:szCs w:val="40"/>
    </w:rPr>
  </w:style>
  <w:style w:type="character" w:styleId="779" w:customStyle="1">
    <w:name w:val="标题 2 字符"/>
    <w:link w:val="696"/>
    <w:uiPriority w:val="9"/>
    <w:qFormat/>
    <w:rPr>
      <w:rFonts w:ascii="Arial" w:hAnsi="Arial" w:eastAsia="Arial" w:cs="Arial"/>
      <w:sz w:val="34"/>
    </w:rPr>
  </w:style>
  <w:style w:type="character" w:styleId="780" w:customStyle="1">
    <w:name w:val="标题 3 字符"/>
    <w:link w:val="697"/>
    <w:uiPriority w:val="9"/>
    <w:qFormat/>
    <w:rPr>
      <w:rFonts w:ascii="Arial" w:hAnsi="Arial" w:eastAsia="Arial" w:cs="Arial"/>
      <w:sz w:val="30"/>
      <w:szCs w:val="30"/>
    </w:rPr>
  </w:style>
  <w:style w:type="character" w:styleId="781" w:customStyle="1">
    <w:name w:val="标题 4 字符"/>
    <w:link w:val="698"/>
    <w:uiPriority w:val="9"/>
    <w:qFormat/>
    <w:rPr>
      <w:rFonts w:ascii="Arial" w:hAnsi="Arial" w:eastAsia="Arial" w:cs="Arial"/>
      <w:b/>
      <w:bCs/>
      <w:sz w:val="26"/>
      <w:szCs w:val="26"/>
    </w:rPr>
  </w:style>
  <w:style w:type="character" w:styleId="782" w:customStyle="1">
    <w:name w:val="标题 5 字符"/>
    <w:link w:val="699"/>
    <w:uiPriority w:val="9"/>
    <w:qFormat/>
    <w:rPr>
      <w:rFonts w:ascii="Arial" w:hAnsi="Arial" w:eastAsia="Arial" w:cs="Arial"/>
      <w:b/>
      <w:bCs/>
      <w:sz w:val="24"/>
      <w:szCs w:val="24"/>
    </w:rPr>
  </w:style>
  <w:style w:type="character" w:styleId="783" w:customStyle="1">
    <w:name w:val="标题 6 字符"/>
    <w:link w:val="700"/>
    <w:uiPriority w:val="9"/>
    <w:qFormat/>
    <w:rPr>
      <w:rFonts w:ascii="Arial" w:hAnsi="Arial" w:eastAsia="Arial" w:cs="Arial"/>
      <w:b/>
      <w:bCs/>
      <w:sz w:val="22"/>
      <w:szCs w:val="22"/>
    </w:rPr>
  </w:style>
  <w:style w:type="character" w:styleId="784" w:customStyle="1">
    <w:name w:val="标题 7 字符"/>
    <w:link w:val="701"/>
    <w:uiPriority w:val="9"/>
    <w:qFormat/>
    <w:rPr>
      <w:rFonts w:ascii="Arial" w:hAnsi="Arial" w:eastAsia="Arial" w:cs="Arial"/>
      <w:b/>
      <w:bCs/>
      <w:i/>
      <w:iCs/>
      <w:sz w:val="22"/>
      <w:szCs w:val="22"/>
    </w:rPr>
  </w:style>
  <w:style w:type="character" w:styleId="785" w:customStyle="1">
    <w:name w:val="标题 8 字符"/>
    <w:link w:val="702"/>
    <w:uiPriority w:val="9"/>
    <w:qFormat/>
    <w:rPr>
      <w:rFonts w:ascii="Arial" w:hAnsi="Arial" w:eastAsia="Arial" w:cs="Arial"/>
      <w:i/>
      <w:iCs/>
      <w:sz w:val="22"/>
      <w:szCs w:val="22"/>
    </w:rPr>
  </w:style>
  <w:style w:type="character" w:styleId="786" w:customStyle="1">
    <w:name w:val="标题 9 字符"/>
    <w:link w:val="703"/>
    <w:uiPriority w:val="9"/>
    <w:qFormat/>
    <w:rPr>
      <w:rFonts w:ascii="Arial" w:hAnsi="Arial" w:eastAsia="Arial" w:cs="Arial"/>
      <w:i/>
      <w:iCs/>
      <w:sz w:val="21"/>
      <w:szCs w:val="21"/>
    </w:rPr>
  </w:style>
  <w:style w:type="paragraph" w:styleId="787">
    <w:name w:val="List Paragraph"/>
    <w:basedOn w:val="694"/>
    <w:uiPriority w:val="34"/>
    <w:qFormat/>
    <w:pPr>
      <w:contextualSpacing/>
      <w:ind w:left="720"/>
    </w:pPr>
  </w:style>
  <w:style w:type="paragraph" w:styleId="788">
    <w:name w:val="No Spacing"/>
    <w:uiPriority w:val="1"/>
    <w:qFormat/>
    <w:rPr>
      <w:rFonts w:hint="default" w:ascii="Calibri" w:hAnsi="Calibri" w:eastAsia="宋体" w:cs="Times New Roman"/>
      <w:lang w:val="en-US" w:eastAsia="zh-CN" w:bidi="ar-SA"/>
    </w:rPr>
  </w:style>
  <w:style w:type="character" w:styleId="789" w:customStyle="1">
    <w:name w:val="标题 字符"/>
    <w:link w:val="728"/>
    <w:uiPriority w:val="10"/>
    <w:qFormat/>
    <w:rPr>
      <w:sz w:val="48"/>
      <w:szCs w:val="48"/>
    </w:rPr>
  </w:style>
  <w:style w:type="character" w:styleId="790" w:customStyle="1">
    <w:name w:val="副标题 字符"/>
    <w:link w:val="721"/>
    <w:uiPriority w:val="11"/>
    <w:qFormat/>
    <w:rPr>
      <w:sz w:val="24"/>
      <w:szCs w:val="24"/>
    </w:rPr>
  </w:style>
  <w:style w:type="paragraph" w:styleId="791">
    <w:name w:val="Quote"/>
    <w:basedOn w:val="694"/>
    <w:next w:val="694"/>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694"/>
    <w:next w:val="694"/>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页眉 字符"/>
    <w:link w:val="718"/>
    <w:uiPriority w:val="99"/>
    <w:qFormat/>
  </w:style>
  <w:style w:type="character" w:styleId="796" w:customStyle="1">
    <w:name w:val="Footer Char"/>
    <w:uiPriority w:val="99"/>
    <w:qFormat/>
  </w:style>
  <w:style w:type="character" w:styleId="797" w:customStyle="1">
    <w:name w:val="页脚 字符"/>
    <w:link w:val="716"/>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22"/>
    <w:uiPriority w:val="99"/>
    <w:qFormat/>
    <w:rPr>
      <w:sz w:val="18"/>
    </w:rPr>
  </w:style>
  <w:style w:type="character" w:styleId="924" w:customStyle="1">
    <w:name w:val="尾注文本 字符"/>
    <w:link w:val="715"/>
    <w:uiPriority w:val="99"/>
    <w:qFormat/>
    <w:rPr>
      <w:sz w:val="20"/>
    </w:rPr>
  </w:style>
  <w:style w:type="paragraph" w:styleId="925" w:customStyle="1">
    <w:name w:val="TOC 标题11"/>
    <w:uiPriority w:val="39"/>
    <w:unhideWhenUsed/>
    <w:qFormat/>
    <w:rPr>
      <w:rFonts w:hint="default" w:ascii="Calibri" w:hAnsi="Calibri" w:eastAsia="宋体" w:cs="Times New Roman"/>
      <w:lang w:val="en-US" w:eastAsia="zh-CN" w:bidi="ar-SA"/>
    </w:rPr>
  </w:style>
  <w:style w:type="paragraph" w:styleId="926" w:customStyle="1">
    <w:name w:val="标题 11"/>
    <w:basedOn w:val="694"/>
    <w:next w:val="694"/>
    <w:link w:val="938"/>
    <w:uiPriority w:val="0"/>
    <w:qFormat/>
    <w:pPr>
      <w:jc w:val="center"/>
      <w:keepNext/>
      <w:outlineLvl w:val="0"/>
    </w:pPr>
    <w:rPr>
      <w:rFonts w:ascii="楷体_GB2312" w:eastAsia="楷体_GB2312"/>
      <w:sz w:val="28"/>
      <w:szCs w:val="28"/>
      <w:lang w:eastAsia="en-US"/>
    </w:rPr>
  </w:style>
  <w:style w:type="paragraph" w:styleId="927" w:customStyle="1">
    <w:name w:val="标题 21"/>
    <w:basedOn w:val="694"/>
    <w:next w:val="928"/>
    <w:link w:val="93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8" w:customStyle="1">
    <w:name w:val="正文缩进1"/>
    <w:basedOn w:val="694"/>
    <w:link w:val="940"/>
    <w:uiPriority w:val="0"/>
    <w:qFormat/>
    <w:pPr>
      <w:ind w:firstLine="420"/>
    </w:pPr>
    <w:rPr>
      <w:sz w:val="20"/>
      <w:lang w:eastAsia="en-US"/>
    </w:rPr>
  </w:style>
  <w:style w:type="paragraph" w:styleId="929" w:customStyle="1">
    <w:name w:val="标题 31"/>
    <w:basedOn w:val="694"/>
    <w:next w:val="928"/>
    <w:link w:val="941"/>
    <w:uiPriority w:val="0"/>
    <w:qFormat/>
    <w:pPr>
      <w:keepLines/>
      <w:keepNext/>
      <w:spacing w:before="260" w:after="260" w:line="416" w:lineRule="auto"/>
      <w:outlineLvl w:val="2"/>
    </w:pPr>
    <w:rPr>
      <w:b/>
      <w:bCs/>
      <w:sz w:val="32"/>
      <w:szCs w:val="32"/>
      <w:lang w:eastAsia="en-US"/>
    </w:rPr>
  </w:style>
  <w:style w:type="paragraph" w:styleId="930" w:customStyle="1">
    <w:name w:val="标题 41"/>
    <w:basedOn w:val="694"/>
    <w:next w:val="928"/>
    <w:link w:val="942"/>
    <w:uiPriority w:val="0"/>
    <w:qFormat/>
    <w:pPr>
      <w:keepLines/>
      <w:keepNext/>
      <w:spacing w:before="280" w:after="290" w:line="376" w:lineRule="auto"/>
      <w:outlineLvl w:val="3"/>
    </w:pPr>
    <w:rPr>
      <w:rFonts w:ascii="Arial" w:hAnsi="Arial" w:eastAsia="黑体"/>
      <w:b/>
      <w:bCs/>
      <w:sz w:val="28"/>
      <w:szCs w:val="28"/>
      <w:lang w:eastAsia="en-US"/>
    </w:rPr>
  </w:style>
  <w:style w:type="paragraph" w:styleId="931" w:customStyle="1">
    <w:name w:val="标题 51"/>
    <w:basedOn w:val="694"/>
    <w:next w:val="928"/>
    <w:link w:val="943"/>
    <w:uiPriority w:val="0"/>
    <w:qFormat/>
    <w:pPr>
      <w:keepNext/>
      <w:outlineLvl w:val="4"/>
    </w:pPr>
    <w:rPr>
      <w:rFonts w:ascii="宋体"/>
      <w:color w:val="000000"/>
      <w:sz w:val="28"/>
      <w:szCs w:val="28"/>
      <w:lang w:eastAsia="en-US"/>
    </w:rPr>
  </w:style>
  <w:style w:type="paragraph" w:styleId="932" w:customStyle="1">
    <w:name w:val="标题 61"/>
    <w:basedOn w:val="694"/>
    <w:next w:val="694"/>
    <w:link w:val="94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3" w:customStyle="1">
    <w:name w:val="标题 71"/>
    <w:basedOn w:val="694"/>
    <w:next w:val="694"/>
    <w:link w:val="945"/>
    <w:uiPriority w:val="0"/>
    <w:qFormat/>
    <w:pPr>
      <w:numPr>
        <w:ilvl w:val="6"/>
        <w:numId w:val="1"/>
      </w:numPr>
      <w:keepLines/>
      <w:keepNext/>
      <w:spacing w:before="240" w:after="64" w:line="320" w:lineRule="auto"/>
      <w:outlineLvl w:val="6"/>
    </w:pPr>
    <w:rPr>
      <w:b/>
      <w:bCs/>
      <w:sz w:val="24"/>
      <w:szCs w:val="24"/>
      <w:lang w:eastAsia="en-US"/>
    </w:rPr>
  </w:style>
  <w:style w:type="paragraph" w:styleId="934" w:customStyle="1">
    <w:name w:val="标题 81"/>
    <w:basedOn w:val="694"/>
    <w:next w:val="694"/>
    <w:link w:val="94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5" w:customStyle="1">
    <w:name w:val="标题 91"/>
    <w:basedOn w:val="694"/>
    <w:next w:val="694"/>
    <w:link w:val="94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6" w:customStyle="1">
    <w:name w:val="默认段落字体1"/>
    <w:uiPriority w:val="1"/>
    <w:unhideWhenUsed/>
    <w:qFormat/>
  </w:style>
  <w:style w:type="table" w:styleId="937" w:customStyle="1">
    <w:name w:val="普通表格1"/>
    <w:uiPriority w:val="99"/>
    <w:unhideWhenUsed/>
    <w:qFormat/>
    <w:tblPr>
      <w:tblCellMar>
        <w:left w:w="0" w:type="dxa"/>
        <w:top w:w="0" w:type="dxa"/>
        <w:right w:w="0" w:type="dxa"/>
        <w:bottom w:w="0" w:type="dxa"/>
      </w:tblCellMar>
    </w:tblPr>
  </w:style>
  <w:style w:type="character" w:styleId="938" w:customStyle="1">
    <w:name w:val="标题 1 Char"/>
    <w:link w:val="926"/>
    <w:uiPriority w:val="0"/>
    <w:qFormat/>
    <w:rPr>
      <w:rFonts w:ascii="楷体_GB2312" w:hAnsi="Times New Roman" w:eastAsia="楷体_GB2312" w:cs="Times New Roman"/>
      <w:sz w:val="28"/>
      <w:szCs w:val="28"/>
    </w:rPr>
  </w:style>
  <w:style w:type="character" w:styleId="939" w:customStyle="1">
    <w:name w:val="标题 2 Char"/>
    <w:link w:val="927"/>
    <w:uiPriority w:val="0"/>
    <w:qFormat/>
    <w:rPr>
      <w:rFonts w:ascii="Arial" w:hAnsi="Arial" w:eastAsia="幼圆" w:cs="Arial"/>
      <w:b/>
      <w:bCs/>
      <w:sz w:val="44"/>
      <w:szCs w:val="44"/>
    </w:rPr>
  </w:style>
  <w:style w:type="character" w:styleId="940" w:customStyle="1">
    <w:name w:val="正文缩进 Char"/>
    <w:link w:val="928"/>
    <w:uiPriority w:val="0"/>
    <w:qFormat/>
    <w:rPr>
      <w:rFonts w:ascii="Times New Roman" w:hAnsi="Times New Roman" w:eastAsia="宋体" w:cs="Times New Roman"/>
      <w:szCs w:val="21"/>
    </w:rPr>
  </w:style>
  <w:style w:type="character" w:styleId="941" w:customStyle="1">
    <w:name w:val="标题 3 Char"/>
    <w:link w:val="929"/>
    <w:uiPriority w:val="0"/>
    <w:qFormat/>
    <w:rPr>
      <w:rFonts w:ascii="Times New Roman" w:hAnsi="Times New Roman" w:eastAsia="宋体" w:cs="Times New Roman"/>
      <w:b/>
      <w:bCs/>
      <w:sz w:val="32"/>
      <w:szCs w:val="32"/>
    </w:rPr>
  </w:style>
  <w:style w:type="character" w:styleId="942" w:customStyle="1">
    <w:name w:val="标题 4 Char"/>
    <w:link w:val="930"/>
    <w:uiPriority w:val="0"/>
    <w:qFormat/>
    <w:rPr>
      <w:rFonts w:ascii="Arial" w:hAnsi="Arial" w:eastAsia="黑体" w:cs="Arial"/>
      <w:b/>
      <w:bCs/>
      <w:sz w:val="28"/>
      <w:szCs w:val="28"/>
    </w:rPr>
  </w:style>
  <w:style w:type="character" w:styleId="943" w:customStyle="1">
    <w:name w:val="标题 5 Char"/>
    <w:link w:val="931"/>
    <w:uiPriority w:val="0"/>
    <w:qFormat/>
    <w:rPr>
      <w:rFonts w:ascii="宋体" w:hAnsi="Times New Roman" w:eastAsia="宋体" w:cs="Times New Roman"/>
      <w:color w:val="000000"/>
      <w:sz w:val="28"/>
      <w:szCs w:val="28"/>
    </w:rPr>
  </w:style>
  <w:style w:type="character" w:styleId="944" w:customStyle="1">
    <w:name w:val="标题 6 Char"/>
    <w:link w:val="932"/>
    <w:uiPriority w:val="0"/>
    <w:qFormat/>
    <w:rPr>
      <w:rFonts w:ascii="Arial" w:hAnsi="Arial" w:eastAsia="黑体" w:cs="Times New Roman"/>
      <w:b/>
      <w:bCs/>
      <w:sz w:val="24"/>
      <w:szCs w:val="24"/>
    </w:rPr>
  </w:style>
  <w:style w:type="character" w:styleId="945" w:customStyle="1">
    <w:name w:val="标题 7 Char"/>
    <w:link w:val="933"/>
    <w:uiPriority w:val="0"/>
    <w:qFormat/>
    <w:rPr>
      <w:rFonts w:ascii="Times New Roman" w:hAnsi="Times New Roman" w:eastAsia="宋体" w:cs="Times New Roman"/>
      <w:b/>
      <w:bCs/>
      <w:sz w:val="24"/>
      <w:szCs w:val="24"/>
    </w:rPr>
  </w:style>
  <w:style w:type="character" w:styleId="946" w:customStyle="1">
    <w:name w:val="标题 8 Char"/>
    <w:link w:val="934"/>
    <w:uiPriority w:val="0"/>
    <w:qFormat/>
    <w:rPr>
      <w:rFonts w:ascii="Arial" w:hAnsi="Arial" w:eastAsia="黑体" w:cs="Times New Roman"/>
      <w:sz w:val="24"/>
      <w:szCs w:val="24"/>
    </w:rPr>
  </w:style>
  <w:style w:type="character" w:styleId="947" w:customStyle="1">
    <w:name w:val="标题 9 Char"/>
    <w:link w:val="935"/>
    <w:uiPriority w:val="0"/>
    <w:qFormat/>
    <w:rPr>
      <w:rFonts w:ascii="Arial" w:hAnsi="Arial" w:eastAsia="黑体" w:cs="Times New Roman"/>
      <w:szCs w:val="21"/>
    </w:rPr>
  </w:style>
  <w:style w:type="paragraph" w:styleId="948" w:customStyle="1">
    <w:name w:val="列表 31"/>
    <w:basedOn w:val="694"/>
    <w:uiPriority w:val="0"/>
    <w:qFormat/>
    <w:pPr>
      <w:ind w:left="100" w:hanging="200"/>
    </w:pPr>
  </w:style>
  <w:style w:type="paragraph" w:styleId="949" w:customStyle="1">
    <w:name w:val="目录 71"/>
    <w:basedOn w:val="694"/>
    <w:next w:val="694"/>
    <w:uiPriority w:val="0"/>
    <w:semiHidden/>
    <w:qFormat/>
    <w:pPr>
      <w:ind w:left="1260"/>
      <w:jc w:val="left"/>
    </w:pPr>
  </w:style>
  <w:style w:type="paragraph" w:styleId="950" w:customStyle="1">
    <w:name w:val="文档结构图1"/>
    <w:basedOn w:val="694"/>
    <w:link w:val="951"/>
    <w:uiPriority w:val="0"/>
    <w:semiHidden/>
    <w:qFormat/>
    <w:pPr>
      <w:shd w:val="clear" w:color="auto" w:fill="000080"/>
    </w:pPr>
    <w:rPr>
      <w:sz w:val="20"/>
      <w:lang w:eastAsia="en-US"/>
    </w:rPr>
  </w:style>
  <w:style w:type="character" w:styleId="951" w:customStyle="1">
    <w:name w:val="文档结构图 Char"/>
    <w:link w:val="950"/>
    <w:uiPriority w:val="0"/>
    <w:semiHidden/>
    <w:qFormat/>
    <w:rPr>
      <w:rFonts w:ascii="Times New Roman" w:hAnsi="Times New Roman" w:eastAsia="宋体" w:cs="Times New Roman"/>
      <w:szCs w:val="21"/>
      <w:shd w:val="clear" w:color="auto" w:fill="000080"/>
    </w:rPr>
  </w:style>
  <w:style w:type="paragraph" w:styleId="952" w:customStyle="1">
    <w:name w:val="批注文字1"/>
    <w:basedOn w:val="694"/>
    <w:link w:val="953"/>
    <w:uiPriority w:val="0"/>
    <w:semiHidden/>
    <w:qFormat/>
    <w:pPr>
      <w:jc w:val="left"/>
    </w:pPr>
    <w:rPr>
      <w:sz w:val="20"/>
      <w:lang w:eastAsia="en-US"/>
    </w:rPr>
  </w:style>
  <w:style w:type="character" w:styleId="953" w:customStyle="1">
    <w:name w:val="批注文字 Char"/>
    <w:link w:val="952"/>
    <w:uiPriority w:val="0"/>
    <w:semiHidden/>
    <w:qFormat/>
    <w:rPr>
      <w:rFonts w:ascii="Times New Roman" w:hAnsi="Times New Roman" w:eastAsia="宋体" w:cs="Times New Roman"/>
      <w:szCs w:val="21"/>
    </w:rPr>
  </w:style>
  <w:style w:type="paragraph" w:styleId="954" w:customStyle="1">
    <w:name w:val="正文文本 31"/>
    <w:basedOn w:val="694"/>
    <w:link w:val="955"/>
    <w:uiPriority w:val="0"/>
    <w:qFormat/>
    <w:rPr>
      <w:rFonts w:ascii="仿宋_GB2312" w:hAnsi="Arial" w:eastAsia="仿宋_GB2312"/>
      <w:sz w:val="32"/>
      <w:szCs w:val="32"/>
      <w:lang w:eastAsia="en-US"/>
    </w:rPr>
  </w:style>
  <w:style w:type="character" w:styleId="955" w:customStyle="1">
    <w:name w:val="正文文本 3 Char"/>
    <w:link w:val="954"/>
    <w:uiPriority w:val="0"/>
    <w:qFormat/>
    <w:rPr>
      <w:rFonts w:ascii="仿宋_GB2312" w:hAnsi="Arial" w:eastAsia="仿宋_GB2312" w:cs="Times New Roman"/>
      <w:sz w:val="32"/>
      <w:szCs w:val="32"/>
    </w:rPr>
  </w:style>
  <w:style w:type="paragraph" w:styleId="956" w:customStyle="1">
    <w:name w:val="正文文本1"/>
    <w:basedOn w:val="694"/>
    <w:link w:val="957"/>
    <w:uiPriority w:val="0"/>
    <w:qFormat/>
    <w:rPr>
      <w:rFonts w:ascii="楷体_GB2312" w:hAnsi="Arial" w:eastAsia="楷体_GB2312"/>
      <w:sz w:val="28"/>
      <w:szCs w:val="28"/>
      <w:lang w:eastAsia="en-US"/>
    </w:rPr>
  </w:style>
  <w:style w:type="character" w:styleId="957" w:customStyle="1">
    <w:name w:val="正文文本 Char"/>
    <w:link w:val="956"/>
    <w:uiPriority w:val="0"/>
    <w:qFormat/>
    <w:rPr>
      <w:rFonts w:ascii="楷体_GB2312" w:hAnsi="Arial" w:eastAsia="楷体_GB2312" w:cs="Times New Roman"/>
      <w:sz w:val="28"/>
      <w:szCs w:val="28"/>
    </w:rPr>
  </w:style>
  <w:style w:type="character" w:styleId="958" w:customStyle="1">
    <w:name w:val="正文文本缩进 Char"/>
    <w:link w:val="776"/>
    <w:uiPriority w:val="0"/>
    <w:qFormat/>
    <w:rPr>
      <w:rFonts w:ascii="楷体_GB2312" w:hAnsi="Times New Roman" w:eastAsia="楷体_GB2312" w:cs="Times New Roman"/>
      <w:sz w:val="32"/>
      <w:szCs w:val="32"/>
    </w:rPr>
  </w:style>
  <w:style w:type="paragraph" w:styleId="959" w:customStyle="1">
    <w:name w:val="列表 21"/>
    <w:basedOn w:val="694"/>
    <w:uiPriority w:val="0"/>
    <w:qFormat/>
    <w:pPr>
      <w:ind w:left="100" w:hanging="200"/>
    </w:pPr>
  </w:style>
  <w:style w:type="paragraph" w:styleId="960" w:customStyle="1">
    <w:name w:val="目录 51"/>
    <w:basedOn w:val="694"/>
    <w:next w:val="694"/>
    <w:uiPriority w:val="0"/>
    <w:semiHidden/>
    <w:qFormat/>
    <w:pPr>
      <w:ind w:left="840"/>
      <w:jc w:val="left"/>
    </w:pPr>
  </w:style>
  <w:style w:type="paragraph" w:styleId="961" w:customStyle="1">
    <w:name w:val="目录 31"/>
    <w:basedOn w:val="694"/>
    <w:next w:val="694"/>
    <w:uiPriority w:val="0"/>
    <w:semiHidden/>
    <w:qFormat/>
    <w:pPr>
      <w:ind w:left="420"/>
      <w:jc w:val="left"/>
    </w:pPr>
    <w:rPr>
      <w:i/>
      <w:iCs/>
      <w:szCs w:val="24"/>
    </w:rPr>
  </w:style>
  <w:style w:type="paragraph" w:styleId="962" w:customStyle="1">
    <w:name w:val="纯文本1"/>
    <w:basedOn w:val="694"/>
    <w:link w:val="963"/>
    <w:uiPriority w:val="0"/>
    <w:qFormat/>
    <w:rPr>
      <w:rFonts w:ascii="宋体" w:hAnsi="Courier New"/>
      <w:sz w:val="20"/>
      <w:lang w:eastAsia="en-US"/>
    </w:rPr>
  </w:style>
  <w:style w:type="character" w:styleId="963" w:customStyle="1">
    <w:name w:val="纯文本 Char"/>
    <w:link w:val="962"/>
    <w:uiPriority w:val="0"/>
    <w:qFormat/>
    <w:rPr>
      <w:rFonts w:ascii="宋体" w:hAnsi="Courier New" w:eastAsia="宋体" w:cs="Courier New"/>
      <w:szCs w:val="21"/>
    </w:rPr>
  </w:style>
  <w:style w:type="paragraph" w:styleId="964" w:customStyle="1">
    <w:name w:val="目录 81"/>
    <w:basedOn w:val="694"/>
    <w:next w:val="694"/>
    <w:uiPriority w:val="0"/>
    <w:semiHidden/>
    <w:qFormat/>
    <w:pPr>
      <w:ind w:left="1470"/>
      <w:jc w:val="left"/>
    </w:pPr>
  </w:style>
  <w:style w:type="paragraph" w:styleId="965" w:customStyle="1">
    <w:name w:val="日期1"/>
    <w:basedOn w:val="694"/>
    <w:next w:val="694"/>
    <w:link w:val="966"/>
    <w:uiPriority w:val="0"/>
    <w:qFormat/>
    <w:rPr>
      <w:sz w:val="24"/>
      <w:szCs w:val="24"/>
      <w:lang w:eastAsia="en-US"/>
    </w:rPr>
  </w:style>
  <w:style w:type="character" w:styleId="966" w:customStyle="1">
    <w:name w:val="日期 Char"/>
    <w:link w:val="965"/>
    <w:uiPriority w:val="0"/>
    <w:qFormat/>
    <w:rPr>
      <w:rFonts w:ascii="Times New Roman" w:hAnsi="Times New Roman" w:eastAsia="宋体" w:cs="Times New Roman"/>
      <w:sz w:val="24"/>
      <w:szCs w:val="24"/>
    </w:rPr>
  </w:style>
  <w:style w:type="paragraph" w:styleId="967" w:customStyle="1">
    <w:name w:val="正文文本缩进 21"/>
    <w:basedOn w:val="694"/>
    <w:link w:val="968"/>
    <w:uiPriority w:val="0"/>
    <w:qFormat/>
    <w:pPr>
      <w:ind w:left="630" w:firstLine="645"/>
    </w:pPr>
    <w:rPr>
      <w:rFonts w:ascii="Arial" w:hAnsi="Arial" w:eastAsia="仿宋_GB2312"/>
      <w:sz w:val="32"/>
      <w:szCs w:val="32"/>
      <w:lang w:eastAsia="en-US"/>
    </w:rPr>
  </w:style>
  <w:style w:type="character" w:styleId="968" w:customStyle="1">
    <w:name w:val="正文文本缩进 2 Char"/>
    <w:link w:val="967"/>
    <w:uiPriority w:val="0"/>
    <w:qFormat/>
    <w:rPr>
      <w:rFonts w:ascii="Arial" w:hAnsi="Arial" w:eastAsia="仿宋_GB2312" w:cs="Arial"/>
      <w:sz w:val="32"/>
      <w:szCs w:val="32"/>
    </w:rPr>
  </w:style>
  <w:style w:type="paragraph" w:styleId="969" w:customStyle="1">
    <w:name w:val="批注框文本1"/>
    <w:basedOn w:val="694"/>
    <w:link w:val="970"/>
    <w:uiPriority w:val="0"/>
    <w:qFormat/>
    <w:rPr>
      <w:sz w:val="18"/>
      <w:szCs w:val="18"/>
      <w:lang w:eastAsia="en-US"/>
    </w:rPr>
  </w:style>
  <w:style w:type="character" w:styleId="970" w:customStyle="1">
    <w:name w:val="批注框文本 Char"/>
    <w:link w:val="969"/>
    <w:uiPriority w:val="0"/>
    <w:qFormat/>
    <w:rPr>
      <w:rFonts w:ascii="Times New Roman" w:hAnsi="Times New Roman" w:eastAsia="宋体" w:cs="Times New Roman"/>
      <w:sz w:val="18"/>
      <w:szCs w:val="18"/>
    </w:rPr>
  </w:style>
  <w:style w:type="paragraph" w:styleId="971" w:customStyle="1">
    <w:name w:val="页脚1"/>
    <w:basedOn w:val="694"/>
    <w:link w:val="972"/>
    <w:uiPriority w:val="0"/>
    <w:qFormat/>
    <w:pPr>
      <w:jc w:val="left"/>
      <w:tabs>
        <w:tab w:val="center" w:pos="4153" w:leader="none"/>
        <w:tab w:val="right" w:pos="8306" w:leader="none"/>
      </w:tabs>
    </w:pPr>
    <w:rPr>
      <w:sz w:val="18"/>
      <w:szCs w:val="18"/>
      <w:lang w:eastAsia="en-US"/>
    </w:rPr>
  </w:style>
  <w:style w:type="character" w:styleId="972" w:customStyle="1">
    <w:name w:val="页脚 Char"/>
    <w:link w:val="971"/>
    <w:uiPriority w:val="0"/>
    <w:qFormat/>
    <w:rPr>
      <w:rFonts w:ascii="Times New Roman" w:hAnsi="Times New Roman" w:eastAsia="宋体" w:cs="Times New Roman"/>
      <w:sz w:val="18"/>
      <w:szCs w:val="18"/>
    </w:rPr>
  </w:style>
  <w:style w:type="paragraph" w:styleId="973" w:customStyle="1">
    <w:name w:val="页眉1"/>
    <w:basedOn w:val="694"/>
    <w:link w:val="97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4" w:customStyle="1">
    <w:name w:val="页眉 Char"/>
    <w:link w:val="973"/>
    <w:uiPriority w:val="0"/>
    <w:qFormat/>
    <w:rPr>
      <w:rFonts w:ascii="Times New Roman" w:hAnsi="Times New Roman" w:eastAsia="宋体" w:cs="Times New Roman"/>
      <w:sz w:val="18"/>
      <w:szCs w:val="18"/>
    </w:rPr>
  </w:style>
  <w:style w:type="paragraph" w:styleId="975" w:customStyle="1">
    <w:name w:val="目录 11"/>
    <w:basedOn w:val="694"/>
    <w:next w:val="694"/>
    <w:uiPriority w:val="0"/>
    <w:semiHidden/>
    <w:qFormat/>
    <w:pPr>
      <w:jc w:val="left"/>
      <w:spacing w:before="120" w:after="120" w:line="400" w:lineRule="exact"/>
      <w:tabs>
        <w:tab w:val="right" w:pos="8720" w:leader="dot"/>
      </w:tabs>
    </w:pPr>
    <w:rPr>
      <w:rFonts w:ascii="宋体" w:hAnsi="宋体"/>
      <w:caps/>
      <w:sz w:val="24"/>
      <w:szCs w:val="24"/>
    </w:rPr>
  </w:style>
  <w:style w:type="paragraph" w:styleId="976" w:customStyle="1">
    <w:name w:val="目录 41"/>
    <w:basedOn w:val="694"/>
    <w:next w:val="694"/>
    <w:uiPriority w:val="0"/>
    <w:semiHidden/>
    <w:qFormat/>
    <w:pPr>
      <w:ind w:left="630"/>
      <w:jc w:val="left"/>
    </w:pPr>
  </w:style>
  <w:style w:type="paragraph" w:styleId="977" w:customStyle="1">
    <w:name w:val="列表1"/>
    <w:basedOn w:val="694"/>
    <w:uiPriority w:val="0"/>
    <w:qFormat/>
    <w:pPr>
      <w:ind w:left="200" w:hanging="200"/>
    </w:pPr>
  </w:style>
  <w:style w:type="paragraph" w:styleId="978" w:customStyle="1">
    <w:name w:val="目录 61"/>
    <w:basedOn w:val="694"/>
    <w:next w:val="694"/>
    <w:uiPriority w:val="0"/>
    <w:semiHidden/>
    <w:qFormat/>
    <w:pPr>
      <w:ind w:left="1050"/>
      <w:jc w:val="left"/>
    </w:pPr>
  </w:style>
  <w:style w:type="paragraph" w:styleId="979" w:customStyle="1">
    <w:name w:val="正文文本缩进 31"/>
    <w:basedOn w:val="694"/>
    <w:link w:val="980"/>
    <w:uiPriority w:val="0"/>
    <w:qFormat/>
    <w:pPr>
      <w:ind w:left="645" w:firstLine="645"/>
    </w:pPr>
    <w:rPr>
      <w:rFonts w:ascii="Arial" w:hAnsi="Arial" w:eastAsia="仿宋_GB2312"/>
      <w:color w:val="ffff00"/>
      <w:sz w:val="32"/>
      <w:szCs w:val="32"/>
      <w:lang w:eastAsia="en-US"/>
    </w:rPr>
  </w:style>
  <w:style w:type="character" w:styleId="980" w:customStyle="1">
    <w:name w:val="正文文本缩进 3 Char"/>
    <w:link w:val="979"/>
    <w:uiPriority w:val="0"/>
    <w:qFormat/>
    <w:rPr>
      <w:rFonts w:ascii="Arial" w:hAnsi="Arial" w:eastAsia="仿宋_GB2312" w:cs="Arial"/>
      <w:color w:val="ffff00"/>
      <w:sz w:val="32"/>
      <w:szCs w:val="32"/>
    </w:rPr>
  </w:style>
  <w:style w:type="paragraph" w:styleId="981" w:customStyle="1">
    <w:name w:val="图表目录1"/>
    <w:basedOn w:val="694"/>
    <w:next w:val="694"/>
    <w:uiPriority w:val="0"/>
    <w:semiHidden/>
    <w:qFormat/>
    <w:pPr>
      <w:ind w:left="840" w:hanging="420"/>
    </w:pPr>
  </w:style>
  <w:style w:type="paragraph" w:styleId="982" w:customStyle="1">
    <w:name w:val="目录 21"/>
    <w:basedOn w:val="694"/>
    <w:next w:val="694"/>
    <w:uiPriority w:val="0"/>
    <w:semiHidden/>
    <w:qFormat/>
    <w:pPr>
      <w:ind w:left="210"/>
      <w:jc w:val="left"/>
    </w:pPr>
    <w:rPr>
      <w:smallCaps/>
      <w:szCs w:val="24"/>
    </w:rPr>
  </w:style>
  <w:style w:type="paragraph" w:styleId="983" w:customStyle="1">
    <w:name w:val="目录 91"/>
    <w:basedOn w:val="694"/>
    <w:next w:val="694"/>
    <w:uiPriority w:val="0"/>
    <w:semiHidden/>
    <w:qFormat/>
    <w:pPr>
      <w:ind w:left="1680"/>
      <w:jc w:val="left"/>
    </w:pPr>
  </w:style>
  <w:style w:type="paragraph" w:styleId="984" w:customStyle="1">
    <w:name w:val="正文文本 21"/>
    <w:basedOn w:val="694"/>
    <w:link w:val="985"/>
    <w:uiPriority w:val="0"/>
    <w:qFormat/>
    <w:pPr>
      <w:jc w:val="center"/>
      <w:widowControl/>
    </w:pPr>
    <w:rPr>
      <w:rFonts w:ascii="楷体_GB2312" w:eastAsia="楷体_GB2312"/>
      <w:sz w:val="28"/>
      <w:szCs w:val="28"/>
      <w:lang w:eastAsia="en-US"/>
    </w:rPr>
  </w:style>
  <w:style w:type="character" w:styleId="985" w:customStyle="1">
    <w:name w:val="正文文本 2 Char"/>
    <w:link w:val="984"/>
    <w:uiPriority w:val="0"/>
    <w:qFormat/>
    <w:rPr>
      <w:rFonts w:ascii="楷体_GB2312" w:hAnsi="Times New Roman" w:eastAsia="楷体_GB2312" w:cs="Times New Roman"/>
      <w:sz w:val="28"/>
      <w:szCs w:val="28"/>
    </w:rPr>
  </w:style>
  <w:style w:type="paragraph" w:styleId="986" w:customStyle="1">
    <w:name w:val="普通(网站)1"/>
    <w:basedOn w:val="694"/>
    <w:uiPriority w:val="99"/>
    <w:qFormat/>
    <w:pPr>
      <w:jc w:val="left"/>
      <w:spacing w:before="100" w:beforeAutospacing="1" w:after="100" w:afterAutospacing="1"/>
      <w:widowControl/>
    </w:pPr>
    <w:rPr>
      <w:rFonts w:ascii="宋体" w:hAnsi="宋体" w:cs="宋体"/>
      <w:sz w:val="24"/>
      <w:szCs w:val="24"/>
    </w:rPr>
  </w:style>
  <w:style w:type="paragraph" w:styleId="987" w:customStyle="1">
    <w:name w:val="索引 11"/>
    <w:basedOn w:val="694"/>
    <w:next w:val="694"/>
    <w:uiPriority w:val="0"/>
    <w:semiHidden/>
    <w:qFormat/>
    <w:pPr>
      <w:spacing w:line="240" w:lineRule="atLeast"/>
    </w:pPr>
    <w:rPr>
      <w:b/>
      <w:bCs/>
    </w:rPr>
  </w:style>
  <w:style w:type="paragraph" w:styleId="988" w:customStyle="1">
    <w:name w:val="批注主题1"/>
    <w:basedOn w:val="952"/>
    <w:next w:val="952"/>
    <w:link w:val="989"/>
    <w:uiPriority w:val="0"/>
    <w:semiHidden/>
    <w:qFormat/>
    <w:rPr>
      <w:b/>
      <w:bCs/>
    </w:rPr>
  </w:style>
  <w:style w:type="character" w:styleId="989" w:customStyle="1">
    <w:name w:val="批注主题 Char"/>
    <w:link w:val="988"/>
    <w:uiPriority w:val="0"/>
    <w:semiHidden/>
    <w:qFormat/>
    <w:rPr>
      <w:rFonts w:ascii="Times New Roman" w:hAnsi="Times New Roman" w:eastAsia="宋体" w:cs="Times New Roman"/>
      <w:b/>
      <w:bCs/>
      <w:szCs w:val="21"/>
    </w:rPr>
  </w:style>
  <w:style w:type="paragraph" w:styleId="990" w:customStyle="1">
    <w:name w:val="正文首行缩进1"/>
    <w:basedOn w:val="694"/>
    <w:link w:val="991"/>
    <w:uiPriority w:val="0"/>
    <w:qFormat/>
    <w:pPr>
      <w:ind w:firstLine="200"/>
      <w:spacing w:line="360" w:lineRule="auto"/>
    </w:pPr>
    <w:rPr>
      <w:rFonts w:ascii="仿宋_GB2312" w:eastAsia="仿宋_GB2312"/>
      <w:sz w:val="30"/>
      <w:szCs w:val="30"/>
      <w:lang w:eastAsia="en-US"/>
    </w:rPr>
  </w:style>
  <w:style w:type="character" w:styleId="991" w:customStyle="1">
    <w:name w:val="正文首行缩进 Char"/>
    <w:link w:val="990"/>
    <w:uiPriority w:val="0"/>
    <w:qFormat/>
    <w:rPr>
      <w:rFonts w:ascii="仿宋_GB2312" w:hAnsi="Times New Roman" w:eastAsia="仿宋_GB2312" w:cs="Times New Roman"/>
      <w:sz w:val="30"/>
      <w:szCs w:val="30"/>
    </w:rPr>
  </w:style>
  <w:style w:type="paragraph" w:styleId="992" w:customStyle="1">
    <w:name w:val="正文首行缩进 21"/>
    <w:basedOn w:val="776"/>
    <w:link w:val="993"/>
    <w:uiPriority w:val="0"/>
    <w:qFormat/>
    <w:pPr>
      <w:ind w:firstLine="420"/>
      <w:spacing w:line="360" w:lineRule="auto"/>
    </w:pPr>
    <w:rPr>
      <w:rFonts w:ascii="宋体" w:hAnsi="宋体" w:eastAsia="宋体"/>
      <w:szCs w:val="20"/>
    </w:rPr>
  </w:style>
  <w:style w:type="character" w:styleId="993" w:customStyle="1">
    <w:name w:val="正文首行缩进 2 Char"/>
    <w:link w:val="992"/>
    <w:uiPriority w:val="0"/>
    <w:qFormat/>
    <w:rPr>
      <w:rFonts w:ascii="宋体" w:hAnsi="宋体" w:eastAsia="宋体" w:cs="Times New Roman"/>
      <w:sz w:val="32"/>
      <w:szCs w:val="20"/>
    </w:rPr>
  </w:style>
  <w:style w:type="table" w:styleId="994" w:customStyle="1">
    <w:name w:val="网格型1"/>
    <w:basedOn w:val="937"/>
    <w:uiPriority w:val="0"/>
    <w:qFormat/>
    <w:pPr>
      <w:jc w:val="both"/>
      <w:widowControl w:val="off"/>
    </w:pPr>
    <w:tblPr/>
  </w:style>
  <w:style w:type="character" w:styleId="995" w:customStyle="1">
    <w:name w:val="要点1"/>
    <w:uiPriority w:val="0"/>
    <w:qFormat/>
    <w:rPr>
      <w:b/>
      <w:bCs/>
    </w:rPr>
  </w:style>
  <w:style w:type="character" w:styleId="996" w:customStyle="1">
    <w:name w:val="页码1"/>
    <w:uiPriority w:val="0"/>
    <w:qFormat/>
  </w:style>
  <w:style w:type="character" w:styleId="997" w:customStyle="1">
    <w:name w:val="已访问的超链接1"/>
    <w:uiPriority w:val="0"/>
    <w:qFormat/>
    <w:rPr>
      <w:color w:val="800080"/>
      <w:u w:val="single"/>
    </w:rPr>
  </w:style>
  <w:style w:type="character" w:styleId="998" w:customStyle="1">
    <w:name w:val="HTML 打字机1"/>
    <w:uiPriority w:val="99"/>
    <w:qFormat/>
    <w:rPr>
      <w:rFonts w:ascii="宋体" w:hAnsi="宋体" w:eastAsia="宋体" w:cs="宋体"/>
      <w:sz w:val="24"/>
      <w:szCs w:val="24"/>
    </w:rPr>
  </w:style>
  <w:style w:type="character" w:styleId="999" w:customStyle="1">
    <w:name w:val="超链接1"/>
    <w:uiPriority w:val="0"/>
    <w:qFormat/>
    <w:rPr>
      <w:color w:val="0000ff"/>
      <w:u w:val="single"/>
    </w:rPr>
  </w:style>
  <w:style w:type="character" w:styleId="1000" w:customStyle="1">
    <w:name w:val="批注引用1"/>
    <w:uiPriority w:val="0"/>
    <w:semiHidden/>
    <w:qFormat/>
    <w:rPr>
      <w:sz w:val="21"/>
      <w:szCs w:val="21"/>
    </w:rPr>
  </w:style>
  <w:style w:type="character" w:styleId="1001" w:customStyle="1">
    <w:name w:val="font5 Char"/>
    <w:uiPriority w:val="0"/>
    <w:qFormat/>
    <w:rPr>
      <w:rFonts w:ascii="宋体" w:hAnsi="宋体" w:eastAsia="宋体"/>
      <w:sz w:val="28"/>
      <w:szCs w:val="28"/>
      <w:lang w:val="en-US" w:eastAsia="zh-CN" w:bidi="ar-SA"/>
    </w:rPr>
  </w:style>
  <w:style w:type="character" w:styleId="1002" w:customStyle="1">
    <w:name w:val="二级目录 Char"/>
    <w:link w:val="1003"/>
    <w:uiPriority w:val="0"/>
    <w:qFormat/>
    <w:rPr>
      <w:rFonts w:ascii="Calibri" w:hAnsi="Calibri"/>
      <w:b/>
      <w:sz w:val="30"/>
      <w:szCs w:val="28"/>
    </w:rPr>
  </w:style>
  <w:style w:type="paragraph" w:styleId="1003" w:customStyle="1">
    <w:name w:val="二级目录"/>
    <w:next w:val="694"/>
    <w:link w:val="100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4" w:customStyle="1">
    <w:name w:val="列出段落 Char"/>
    <w:link w:val="1005"/>
    <w:uiPriority w:val="0"/>
    <w:qFormat/>
    <w:rPr>
      <w:rFonts w:ascii="Calibri" w:hAnsi="Calibri"/>
      <w:sz w:val="24"/>
      <w:szCs w:val="24"/>
      <w:lang w:eastAsia="en-US" w:bidi="en-US"/>
    </w:rPr>
  </w:style>
  <w:style w:type="paragraph" w:styleId="1005" w:customStyle="1">
    <w:name w:val="列出段落1"/>
    <w:basedOn w:val="694"/>
    <w:link w:val="1004"/>
    <w:uiPriority w:val="0"/>
    <w:qFormat/>
    <w:pPr>
      <w:contextualSpacing/>
      <w:ind w:left="720"/>
      <w:jc w:val="left"/>
      <w:widowControl/>
    </w:pPr>
    <w:rPr>
      <w:rFonts w:ascii="Calibri" w:hAnsi="Calibri"/>
      <w:sz w:val="24"/>
      <w:szCs w:val="24"/>
      <w:lang w:eastAsia="en-US" w:bidi="en-US"/>
    </w:rPr>
  </w:style>
  <w:style w:type="paragraph" w:styleId="1006" w:customStyle="1">
    <w:name w:val="Body Text(ch)"/>
    <w:basedOn w:val="694"/>
    <w:next w:val="956"/>
    <w:uiPriority w:val="0"/>
    <w:qFormat/>
    <w:pPr>
      <w:spacing w:after="120"/>
    </w:pPr>
    <w:rPr>
      <w:rFonts w:ascii="宋体" w:hAnsi="Arial"/>
      <w:bCs/>
      <w:iCs/>
      <w:szCs w:val="24"/>
    </w:rPr>
  </w:style>
  <w:style w:type="paragraph" w:styleId="1007"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customStyle="1">
    <w:name w:val="Char"/>
    <w:basedOn w:val="694"/>
    <w:uiPriority w:val="0"/>
    <w:qFormat/>
    <w:pPr>
      <w:ind w:firstLine="200"/>
      <w:tabs>
        <w:tab w:val="left" w:pos="360" w:leader="none"/>
      </w:tabs>
    </w:pPr>
    <w:rPr>
      <w:sz w:val="28"/>
      <w:szCs w:val="30"/>
    </w:rPr>
  </w:style>
  <w:style w:type="paragraph" w:styleId="1010" w:customStyle="1">
    <w:name w:val="Char1"/>
    <w:basedOn w:val="950"/>
    <w:uiPriority w:val="0"/>
    <w:qFormat/>
    <w:rPr>
      <w:rFonts w:ascii="Tahoma" w:hAnsi="Tahoma"/>
      <w:sz w:val="24"/>
      <w:szCs w:val="24"/>
    </w:rPr>
  </w:style>
  <w:style w:type="paragraph" w:styleId="1011"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1012" w:customStyle="1">
    <w:name w:val="table_lines"/>
    <w:basedOn w:val="694"/>
    <w:uiPriority w:val="0"/>
    <w:qFormat/>
    <w:pPr>
      <w:jc w:val="left"/>
      <w:widowControl/>
    </w:pPr>
    <w:rPr>
      <w:sz w:val="20"/>
      <w:szCs w:val="20"/>
      <w:lang w:val="de-DE" w:eastAsia="de-DE"/>
    </w:rPr>
  </w:style>
  <w:style w:type="paragraph" w:styleId="101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4"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1015" w:customStyle="1">
    <w:name w:val="Char Char Char Char"/>
    <w:basedOn w:val="950"/>
    <w:uiPriority w:val="0"/>
    <w:qFormat/>
    <w:pPr>
      <w:spacing w:line="360" w:lineRule="auto"/>
    </w:pPr>
    <w:rPr>
      <w:rFonts w:ascii="Tahoma" w:hAnsi="Tahoma"/>
      <w:sz w:val="24"/>
      <w:szCs w:val="24"/>
    </w:rPr>
  </w:style>
  <w:style w:type="paragraph" w:styleId="1016" w:customStyle="1">
    <w:name w:val="列出段落2"/>
    <w:basedOn w:val="694"/>
    <w:uiPriority w:val="99"/>
    <w:qFormat/>
    <w:pPr>
      <w:contextualSpacing/>
      <w:ind w:left="720"/>
      <w:jc w:val="left"/>
      <w:widowControl/>
    </w:pPr>
    <w:rPr>
      <w:rFonts w:ascii="Calibri" w:hAnsi="Calibri"/>
      <w:sz w:val="24"/>
      <w:szCs w:val="24"/>
      <w:lang w:eastAsia="en-US" w:bidi="en-US"/>
    </w:rPr>
  </w:style>
  <w:style w:type="paragraph" w:styleId="1017" w:customStyle="1">
    <w:name w:val="4"/>
    <w:basedOn w:val="694"/>
    <w:next w:val="979"/>
    <w:uiPriority w:val="0"/>
    <w:qFormat/>
    <w:pPr>
      <w:ind w:firstLine="420"/>
      <w:spacing w:line="360" w:lineRule="auto"/>
    </w:pPr>
    <w:rPr>
      <w:color w:val="ff0000"/>
      <w:sz w:val="24"/>
      <w:szCs w:val="24"/>
    </w:rPr>
  </w:style>
  <w:style w:type="paragraph" w:styleId="1018" w:customStyle="1">
    <w:name w:val="普通 (Web)"/>
    <w:basedOn w:val="694"/>
    <w:uiPriority w:val="0"/>
    <w:qFormat/>
    <w:pPr>
      <w:jc w:val="left"/>
      <w:spacing w:before="100" w:beforeAutospacing="1" w:after="100" w:afterAutospacing="1"/>
      <w:widowControl/>
    </w:pPr>
    <w:rPr>
      <w:rFonts w:ascii="宋体" w:hAnsi="宋体"/>
      <w:sz w:val="24"/>
      <w:szCs w:val="24"/>
    </w:rPr>
  </w:style>
  <w:style w:type="paragraph" w:styleId="1019" w:customStyle="1">
    <w:name w:val="Char Char Char Char Char Char Char Char Char Char"/>
    <w:basedOn w:val="694"/>
    <w:uiPriority w:val="0"/>
    <w:qFormat/>
    <w:pPr>
      <w:spacing w:line="360" w:lineRule="auto"/>
    </w:pPr>
    <w:rPr>
      <w:sz w:val="24"/>
      <w:szCs w:val="20"/>
    </w:rPr>
  </w:style>
  <w:style w:type="paragraph" w:styleId="1020" w:customStyle="1">
    <w:name w:val="样式1"/>
    <w:basedOn w:val="694"/>
    <w:uiPriority w:val="0"/>
    <w:qFormat/>
    <w:pPr>
      <w:numPr>
        <w:ilvl w:val="0"/>
        <w:numId w:val="3"/>
      </w:numPr>
    </w:pPr>
    <w:rPr>
      <w:rFonts w:ascii="宋体" w:hAnsi="宋体"/>
    </w:rPr>
  </w:style>
  <w:style w:type="paragraph" w:styleId="1021" w:customStyle="1">
    <w:name w:val="font6"/>
    <w:basedOn w:val="694"/>
    <w:uiPriority w:val="0"/>
    <w:qFormat/>
    <w:pPr>
      <w:jc w:val="left"/>
      <w:spacing w:before="100" w:beforeAutospacing="1" w:after="100" w:afterAutospacing="1"/>
      <w:widowControl/>
    </w:pPr>
    <w:rPr>
      <w:rFonts w:hint="eastAsia" w:ascii="宋体" w:hAnsi="宋体"/>
      <w:sz w:val="28"/>
      <w:szCs w:val="28"/>
      <w:u w:val="single"/>
    </w:rPr>
  </w:style>
  <w:style w:type="paragraph" w:styleId="1022"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标题3"/>
    <w:basedOn w:val="694"/>
    <w:next w:val="694"/>
    <w:uiPriority w:val="0"/>
    <w:qFormat/>
    <w:pPr>
      <w:ind w:firstLine="624"/>
      <w:spacing w:line="590" w:lineRule="atLeast"/>
    </w:pPr>
    <w:rPr>
      <w:rFonts w:ascii="方正黑体_GBK" w:eastAsia="方正黑体_GBK"/>
      <w:sz w:val="32"/>
      <w:szCs w:val="32"/>
    </w:rPr>
  </w:style>
  <w:style w:type="paragraph" w:styleId="1025"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1028"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customStyle="1">
    <w:name w:val="Char Char Char Char Char Char Char Char1"/>
    <w:basedOn w:val="694"/>
    <w:uiPriority w:val="0"/>
    <w:qFormat/>
    <w:pPr>
      <w:jc w:val="left"/>
      <w:spacing w:after="160" w:line="240" w:lineRule="exact"/>
      <w:widowControl/>
    </w:pPr>
    <w:rPr>
      <w:rFonts w:ascii="Verdana" w:hAnsi="Verdana"/>
      <w:sz w:val="20"/>
      <w:szCs w:val="20"/>
      <w:lang w:eastAsia="en-US"/>
    </w:rPr>
  </w:style>
  <w:style w:type="paragraph" w:styleId="1030" w:customStyle="1">
    <w:name w:val="xl30"/>
    <w:basedOn w:val="694"/>
    <w:uiPriority w:val="0"/>
    <w:qFormat/>
    <w:pPr>
      <w:jc w:val="center"/>
      <w:spacing w:before="100" w:beforeAutospacing="1" w:after="100" w:afterAutospacing="1"/>
      <w:widowControl/>
    </w:pPr>
    <w:rPr>
      <w:rFonts w:ascii="宋体" w:hAnsi="宋体"/>
      <w:b/>
      <w:bCs/>
      <w:sz w:val="36"/>
      <w:szCs w:val="36"/>
    </w:rPr>
  </w:style>
  <w:style w:type="paragraph" w:styleId="1031" w:customStyle="1">
    <w:name w:val="Char Char Char Char1"/>
    <w:basedOn w:val="950"/>
    <w:uiPriority w:val="0"/>
    <w:qFormat/>
    <w:pPr>
      <w:spacing w:line="360" w:lineRule="auto"/>
    </w:pPr>
    <w:rPr>
      <w:rFonts w:ascii="Tahoma" w:hAnsi="Tahoma"/>
      <w:sz w:val="24"/>
      <w:szCs w:val="24"/>
    </w:rPr>
  </w:style>
  <w:style w:type="paragraph" w:styleId="1032" w:customStyle="1">
    <w:name w:val="table_1stline"/>
    <w:basedOn w:val="694"/>
    <w:uiPriority w:val="0"/>
    <w:qFormat/>
    <w:pPr>
      <w:jc w:val="left"/>
      <w:spacing w:before="120"/>
      <w:widowControl/>
    </w:pPr>
    <w:rPr>
      <w:bCs/>
      <w:sz w:val="20"/>
      <w:szCs w:val="20"/>
      <w:lang w:val="de-DE" w:eastAsia="de-DE"/>
    </w:rPr>
  </w:style>
  <w:style w:type="paragraph" w:styleId="1033" w:customStyle="1">
    <w:name w:val="font5"/>
    <w:basedOn w:val="694"/>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标题1"/>
    <w:basedOn w:val="694"/>
    <w:next w:val="6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7" w:customStyle="1">
    <w:name w:val="普通文字"/>
    <w:basedOn w:val="694"/>
    <w:next w:val="694"/>
    <w:uiPriority w:val="99"/>
    <w:qFormat/>
    <w:rPr>
      <w:rFonts w:ascii="宋体"/>
      <w:sz w:val="24"/>
      <w:szCs w:val="20"/>
    </w:rPr>
  </w:style>
  <w:style w:type="paragraph" w:styleId="1038" w:customStyle="1">
    <w:name w:val="目录 111"/>
    <w:basedOn w:val="694"/>
    <w:next w:val="694"/>
    <w:uiPriority w:val="39"/>
    <w:unhideWhenUsed/>
    <w:qFormat/>
    <w:pPr>
      <w:jc w:val="left"/>
      <w:spacing w:after="100" w:line="259" w:lineRule="auto"/>
      <w:widowControl/>
    </w:pPr>
    <w:rPr>
      <w:rFonts w:ascii="Calibri" w:hAnsi="Calibri"/>
      <w:sz w:val="22"/>
      <w:szCs w:val="22"/>
    </w:rPr>
  </w:style>
  <w:style w:type="numbering" w:styleId="105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15</cp:revision>
  <dcterms:created xsi:type="dcterms:W3CDTF">2025-05-16T02:17:00Z</dcterms:created>
  <dcterms:modified xsi:type="dcterms:W3CDTF">2025-11-03T07:49:15Z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C6D4016A8BA148049BD8D234D9B32A6F_13</vt:lpwstr>
  </property>
  <property fmtid="{D5CDD505-2E9C-101B-9397-08002B2CF9AE}" pid="4" name="KSOTemplateDocerSaveRecord">
    <vt:lpwstr>eyJoZGlkIjoiYWEwNDBkZDVjMDI2NzVhN2Q2ZjdkYzk3NDg0ZWQ4YWQiLCJ1c2VySWQiOiI1Mzk3NjA2MDAifQ==</vt:lpwstr>
  </property>
</Properties>
</file>